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23C539F" w14:textId="77777777" w:rsidR="00292683" w:rsidRPr="0037607F" w:rsidRDefault="00292683" w:rsidP="00292683">
      <w:pPr>
        <w:jc w:val="both"/>
        <w:rPr>
          <w:rFonts w:ascii="Times New Roman" w:hAnsi="Times New Roman" w:cs="Times New Roman"/>
        </w:rPr>
      </w:pPr>
    </w:p>
    <w:p w14:paraId="5F60B3B5" w14:textId="77777777" w:rsidR="00292683" w:rsidRPr="0037607F" w:rsidRDefault="00292683" w:rsidP="00292683">
      <w:pPr>
        <w:jc w:val="both"/>
        <w:rPr>
          <w:rFonts w:ascii="Times New Roman" w:hAnsi="Times New Roman" w:cs="Times New Roman"/>
        </w:rPr>
      </w:pPr>
    </w:p>
    <w:p w14:paraId="1BDB0265" w14:textId="77777777" w:rsidR="00292683" w:rsidRPr="0037607F" w:rsidRDefault="00292683" w:rsidP="00292683">
      <w:pPr>
        <w:jc w:val="both"/>
        <w:rPr>
          <w:rFonts w:ascii="Times New Roman" w:hAnsi="Times New Roman" w:cs="Times New Roman"/>
        </w:rPr>
      </w:pPr>
    </w:p>
    <w:p w14:paraId="3BF7ACCA" w14:textId="77777777" w:rsidR="00292683" w:rsidRPr="0037607F" w:rsidRDefault="00292683" w:rsidP="00292683">
      <w:pPr>
        <w:jc w:val="center"/>
        <w:rPr>
          <w:rFonts w:ascii="Times New Roman" w:hAnsi="Times New Roman" w:cs="Times New Roman"/>
        </w:rPr>
      </w:pPr>
      <w:r w:rsidRPr="0037607F">
        <w:rPr>
          <w:rFonts w:ascii="Times New Roman" w:hAnsi="Times New Roman" w:cs="Times New Roman"/>
        </w:rPr>
        <w:t>CONSORZIO FARMACEUTICO INTERCOMUNALE</w:t>
      </w:r>
    </w:p>
    <w:p w14:paraId="27ACA1E4" w14:textId="77777777" w:rsidR="00292683" w:rsidRPr="0037607F" w:rsidRDefault="00292683" w:rsidP="00292683">
      <w:pPr>
        <w:jc w:val="center"/>
        <w:rPr>
          <w:rFonts w:ascii="Times New Roman" w:hAnsi="Times New Roman" w:cs="Times New Roman"/>
        </w:rPr>
      </w:pPr>
    </w:p>
    <w:p w14:paraId="357576A7" w14:textId="7CC52F6F" w:rsidR="00594E61" w:rsidRPr="0037607F" w:rsidRDefault="00594E61" w:rsidP="00510CFF">
      <w:pPr>
        <w:jc w:val="center"/>
        <w:rPr>
          <w:rFonts w:ascii="Times New Roman" w:hAnsi="Times New Roman" w:cs="Times New Roman"/>
        </w:rPr>
      </w:pPr>
      <w:r w:rsidRPr="0037607F">
        <w:rPr>
          <w:rFonts w:ascii="Times New Roman" w:hAnsi="Times New Roman" w:cs="Times New Roman"/>
        </w:rPr>
        <w:t>DETERMINAZIONE</w:t>
      </w:r>
    </w:p>
    <w:p w14:paraId="7655A421" w14:textId="77777777" w:rsidR="00594E61" w:rsidRPr="0037607F" w:rsidRDefault="00594E61" w:rsidP="0095410C">
      <w:pPr>
        <w:jc w:val="center"/>
        <w:rPr>
          <w:rFonts w:ascii="Times New Roman" w:hAnsi="Times New Roman" w:cs="Times New Roman"/>
        </w:rPr>
      </w:pPr>
      <w:r w:rsidRPr="0037607F">
        <w:rPr>
          <w:rFonts w:ascii="Times New Roman" w:hAnsi="Times New Roman" w:cs="Times New Roman"/>
        </w:rPr>
        <w:t>DEL DIRETTORE GENERALE VICARIO (RAPPRESENTANTE LEGALE)</w:t>
      </w:r>
    </w:p>
    <w:p w14:paraId="4E86806C" w14:textId="62D47E5A" w:rsidR="00594E61" w:rsidRPr="0037607F" w:rsidRDefault="00594E61" w:rsidP="0095410C">
      <w:pPr>
        <w:jc w:val="center"/>
        <w:rPr>
          <w:rFonts w:ascii="Times New Roman" w:hAnsi="Times New Roman" w:cs="Times New Roman"/>
        </w:rPr>
      </w:pPr>
      <w:r w:rsidRPr="0037607F">
        <w:rPr>
          <w:rFonts w:ascii="Times New Roman" w:hAnsi="Times New Roman" w:cs="Times New Roman"/>
        </w:rPr>
        <w:t xml:space="preserve">N° </w:t>
      </w:r>
      <w:r w:rsidR="00CD4111">
        <w:rPr>
          <w:rFonts w:ascii="Times New Roman" w:hAnsi="Times New Roman" w:cs="Times New Roman"/>
        </w:rPr>
        <w:t>132</w:t>
      </w:r>
      <w:bookmarkStart w:id="0" w:name="_GoBack"/>
      <w:bookmarkEnd w:id="0"/>
      <w:r w:rsidRPr="0037607F">
        <w:rPr>
          <w:rFonts w:ascii="Times New Roman" w:hAnsi="Times New Roman" w:cs="Times New Roman"/>
        </w:rPr>
        <w:t xml:space="preserve"> DEL</w:t>
      </w:r>
      <w:r w:rsidR="003E1DB6" w:rsidRPr="0037607F">
        <w:rPr>
          <w:rFonts w:ascii="Times New Roman" w:hAnsi="Times New Roman" w:cs="Times New Roman"/>
        </w:rPr>
        <w:t xml:space="preserve"> 08</w:t>
      </w:r>
      <w:r w:rsidRPr="0037607F">
        <w:rPr>
          <w:rFonts w:ascii="Times New Roman" w:hAnsi="Times New Roman" w:cs="Times New Roman"/>
        </w:rPr>
        <w:t>/03/2024</w:t>
      </w:r>
    </w:p>
    <w:p w14:paraId="18F98195" w14:textId="77777777" w:rsidR="00594E61" w:rsidRPr="0037607F" w:rsidRDefault="00594E61" w:rsidP="0095410C">
      <w:pPr>
        <w:rPr>
          <w:rFonts w:ascii="Times New Roman" w:hAnsi="Times New Roman" w:cs="Times New Roman"/>
        </w:rPr>
      </w:pPr>
    </w:p>
    <w:p w14:paraId="36ECFC82" w14:textId="31EF2547" w:rsidR="00594E61" w:rsidRPr="0037607F" w:rsidRDefault="00526749" w:rsidP="0095410C">
      <w:pPr>
        <w:rPr>
          <w:rFonts w:ascii="Times New Roman" w:hAnsi="Times New Roman" w:cs="Times New Roman"/>
        </w:rPr>
      </w:pPr>
      <w:r>
        <w:rPr>
          <w:rFonts w:ascii="Times New Roman" w:hAnsi="Times New Roman" w:cs="Times New Roman"/>
        </w:rPr>
        <w:t>OGGETTO</w:t>
      </w:r>
      <w:r w:rsidR="00594E61" w:rsidRPr="0037607F">
        <w:rPr>
          <w:rFonts w:ascii="Times New Roman" w:hAnsi="Times New Roman" w:cs="Times New Roman"/>
        </w:rPr>
        <w:t>: Fornitura del servizio di assistenza hardware, per 24 mesi.</w:t>
      </w:r>
    </w:p>
    <w:p w14:paraId="3C9FD6BA"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 xml:space="preserve"> </w:t>
      </w:r>
    </w:p>
    <w:p w14:paraId="473FBB4F" w14:textId="0BB35775" w:rsidR="00594E61" w:rsidRPr="0037607F" w:rsidRDefault="00594E61" w:rsidP="0095410C">
      <w:pPr>
        <w:rPr>
          <w:rFonts w:ascii="Times New Roman" w:hAnsi="Times New Roman" w:cs="Times New Roman"/>
        </w:rPr>
      </w:pPr>
      <w:r w:rsidRPr="0037607F">
        <w:rPr>
          <w:rFonts w:ascii="Times New Roman" w:hAnsi="Times New Roman" w:cs="Times New Roman"/>
        </w:rPr>
        <w:t>VISTO il Decreto Legislativo 18.08.2000 n. 267 “Testo Unico delle leggi sull’ordinamento degli enti Locali”, ed in particolare:</w:t>
      </w:r>
    </w:p>
    <w:p w14:paraId="7301ACF3"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 xml:space="preserve">• L’art. 109 che disciplina il conferimento degli incarichi dirigenziali, secondo principi di </w:t>
      </w:r>
    </w:p>
    <w:p w14:paraId="2254CBA8"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competenza professionale;</w:t>
      </w:r>
    </w:p>
    <w:p w14:paraId="1EF61D77" w14:textId="1B5A83FD" w:rsidR="00594E61" w:rsidRPr="0037607F" w:rsidRDefault="00594E61" w:rsidP="0095410C">
      <w:pPr>
        <w:rPr>
          <w:rFonts w:ascii="Times New Roman" w:hAnsi="Times New Roman" w:cs="Times New Roman"/>
        </w:rPr>
      </w:pPr>
      <w:r w:rsidRPr="0037607F">
        <w:rPr>
          <w:rFonts w:ascii="Times New Roman" w:hAnsi="Times New Roman" w:cs="Times New Roman"/>
        </w:rPr>
        <w:t>• L’art. 107, che assegna ai responsabili dei servizi la competenza in materia di atti di gestione amministrativa;</w:t>
      </w:r>
    </w:p>
    <w:p w14:paraId="62D5154D"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 L’art. 182, in materia di impegno della spesa;</w:t>
      </w:r>
    </w:p>
    <w:p w14:paraId="239F1838"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 L’art. 147 bis, in merito al controllo sulla regolarità amministrativa e contabile dell’atto;</w:t>
      </w:r>
    </w:p>
    <w:p w14:paraId="0DE459FB" w14:textId="77777777" w:rsidR="00B975F3" w:rsidRPr="0037607F" w:rsidRDefault="00B975F3" w:rsidP="0095410C">
      <w:pPr>
        <w:rPr>
          <w:rFonts w:ascii="Times New Roman" w:hAnsi="Times New Roman" w:cs="Times New Roman"/>
        </w:rPr>
      </w:pPr>
    </w:p>
    <w:p w14:paraId="2970EFBE" w14:textId="7A865128" w:rsidR="00594E61" w:rsidRPr="0037607F" w:rsidRDefault="00594E61" w:rsidP="0095410C">
      <w:pPr>
        <w:rPr>
          <w:rFonts w:ascii="Times New Roman" w:hAnsi="Times New Roman" w:cs="Times New Roman"/>
        </w:rPr>
      </w:pPr>
      <w:r w:rsidRPr="0037607F">
        <w:rPr>
          <w:rFonts w:ascii="Times New Roman" w:hAnsi="Times New Roman" w:cs="Times New Roman"/>
        </w:rPr>
        <w:t>VISTI altresì:</w:t>
      </w:r>
    </w:p>
    <w:p w14:paraId="66D0D127" w14:textId="05ECEED1" w:rsidR="00594E61" w:rsidRPr="0037607F" w:rsidRDefault="00594E61" w:rsidP="0095410C">
      <w:pPr>
        <w:rPr>
          <w:rFonts w:ascii="Times New Roman" w:hAnsi="Times New Roman" w:cs="Times New Roman"/>
        </w:rPr>
      </w:pPr>
      <w:r w:rsidRPr="0037607F">
        <w:rPr>
          <w:rFonts w:ascii="Times New Roman" w:hAnsi="Times New Roman" w:cs="Times New Roman"/>
        </w:rPr>
        <w:t>• Il D.lgs. 118/2011, attuativo della Legge Delega sul federalismo fiscale n. 42/2009 recante “Disposizioni in materia di armonizzazione dei sistemi contabili e degli schemi di bilancio delle Regioni, degli enti locali e il D.lgs. Vo 30 marzo 2001 n.165;</w:t>
      </w:r>
    </w:p>
    <w:p w14:paraId="73F4BA34"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 Lo Statuto;</w:t>
      </w:r>
    </w:p>
    <w:p w14:paraId="0E985275"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 Il Regolamento di Contabilità.</w:t>
      </w:r>
    </w:p>
    <w:p w14:paraId="04A005D5"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 che il presente affidamento avviene in assenza di conflitto di interessi e nel rispetto delle seguenti normative: art. 42 del D.Lgs 50/2016; art. 7 del DPR 62/2013; Linee Guida ANAC e del codice di comportamento adottato da questa Amministrazione;</w:t>
      </w:r>
    </w:p>
    <w:p w14:paraId="1D41D119" w14:textId="1F75ADBD" w:rsidR="00594E61" w:rsidRPr="0037607F" w:rsidRDefault="00594E61" w:rsidP="0095410C">
      <w:pPr>
        <w:rPr>
          <w:rFonts w:ascii="Times New Roman" w:hAnsi="Times New Roman" w:cs="Times New Roman"/>
        </w:rPr>
      </w:pPr>
      <w:r w:rsidRPr="0037607F">
        <w:rPr>
          <w:rFonts w:ascii="Times New Roman" w:hAnsi="Times New Roman" w:cs="Times New Roman"/>
        </w:rPr>
        <w:t>• l’art. 6-bis della L. 241/1990 che testualmente dispone: “Il Responsabile del procedimento e i titolari degli uffici competenti ad adottare i pareri, le valutazioni tecniche, gli atti</w:t>
      </w:r>
      <w:r w:rsidR="00B60205" w:rsidRPr="0037607F">
        <w:rPr>
          <w:rFonts w:ascii="Times New Roman" w:hAnsi="Times New Roman" w:cs="Times New Roman"/>
        </w:rPr>
        <w:t xml:space="preserve"> </w:t>
      </w:r>
      <w:r w:rsidRPr="0037607F">
        <w:rPr>
          <w:rFonts w:ascii="Times New Roman" w:hAnsi="Times New Roman" w:cs="Times New Roman"/>
        </w:rPr>
        <w:t xml:space="preserve">endoprocedimentali e il provvedimento finale devono astenersi in caso di conflitto di </w:t>
      </w:r>
    </w:p>
    <w:p w14:paraId="00FF7EE2"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 xml:space="preserve">interessi, segnalando ogni situazione di conflitto, anche potenziale” e dato atto che, in </w:t>
      </w:r>
    </w:p>
    <w:p w14:paraId="64B34C90"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 xml:space="preserve">relazione all’adozione del presente atto, non sussiste alcuna causa di incompatibilità del </w:t>
      </w:r>
    </w:p>
    <w:p w14:paraId="4D8D0D73"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responsabile.</w:t>
      </w:r>
    </w:p>
    <w:p w14:paraId="3749D19D" w14:textId="0CE0BD01" w:rsidR="00594E61" w:rsidRPr="0037607F" w:rsidRDefault="00594E61" w:rsidP="0095410C">
      <w:pPr>
        <w:rPr>
          <w:rFonts w:ascii="Times New Roman" w:hAnsi="Times New Roman" w:cs="Times New Roman"/>
        </w:rPr>
      </w:pPr>
      <w:r w:rsidRPr="0037607F">
        <w:rPr>
          <w:rFonts w:ascii="Times New Roman" w:hAnsi="Times New Roman" w:cs="Times New Roman"/>
        </w:rPr>
        <w:t>Premesso che occorr</w:t>
      </w:r>
      <w:r w:rsidR="008A7F89">
        <w:rPr>
          <w:rFonts w:ascii="Times New Roman" w:hAnsi="Times New Roman" w:cs="Times New Roman"/>
        </w:rPr>
        <w:t xml:space="preserve">e procedere all’affidamento della </w:t>
      </w:r>
      <w:r w:rsidRPr="0037607F">
        <w:rPr>
          <w:rFonts w:ascii="Times New Roman" w:hAnsi="Times New Roman" w:cs="Times New Roman"/>
        </w:rPr>
        <w:t>fornitura in oggetto</w:t>
      </w:r>
    </w:p>
    <w:p w14:paraId="4C303CCC" w14:textId="66936E6D" w:rsidR="00594E61" w:rsidRPr="0037607F" w:rsidRDefault="00594E61" w:rsidP="0095410C">
      <w:pPr>
        <w:rPr>
          <w:rFonts w:ascii="Times New Roman" w:hAnsi="Times New Roman" w:cs="Times New Roman"/>
        </w:rPr>
      </w:pPr>
      <w:r w:rsidRPr="0037607F">
        <w:rPr>
          <w:rFonts w:ascii="Times New Roman" w:hAnsi="Times New Roman" w:cs="Times New Roman"/>
        </w:rPr>
        <w:t>Atteso che per l’acquisizione del servizio di cui sopra, è necessario provvedere all’affidamento del medesimo ad idoneo operatore economico in qualità di appaltatore per darne compiutamente attuazione;</w:t>
      </w:r>
    </w:p>
    <w:p w14:paraId="053C9C02" w14:textId="1AD828D0" w:rsidR="00594E61" w:rsidRPr="0037607F" w:rsidRDefault="00594E61" w:rsidP="0095410C">
      <w:pPr>
        <w:rPr>
          <w:rFonts w:ascii="Times New Roman" w:hAnsi="Times New Roman" w:cs="Times New Roman"/>
        </w:rPr>
      </w:pPr>
      <w:r w:rsidRPr="0037607F">
        <w:rPr>
          <w:rFonts w:ascii="Times New Roman" w:hAnsi="Times New Roman" w:cs="Times New Roman"/>
        </w:rPr>
        <w:t>Atteso che la normativa in materia di acquisizione di beni e servizi, modificata dalla legge n. 208/2015, nel favorire sempre di più il ricorso a centrali di committenza e agli strumenti telematici di negoziazione (e-procurement), prevede:</w:t>
      </w:r>
    </w:p>
    <w:p w14:paraId="353706C8" w14:textId="7E32B469" w:rsidR="00594E61" w:rsidRPr="0037607F" w:rsidRDefault="00594E61" w:rsidP="0095410C">
      <w:pPr>
        <w:rPr>
          <w:rFonts w:ascii="Times New Roman" w:hAnsi="Times New Roman" w:cs="Times New Roman"/>
        </w:rPr>
      </w:pPr>
      <w:r w:rsidRPr="0037607F">
        <w:rPr>
          <w:rFonts w:ascii="Times New Roman" w:hAnsi="Times New Roman" w:cs="Times New Roman"/>
        </w:rPr>
        <w:lastRenderedPageBreak/>
        <w:t>• l’obbligo per gli enti locali di avvalersi delle convenzioni Consip ovvero di utilizzarne i parametri qualità/prezzo come limiti massimi per le acquisizioni in via autonoma (art. 26, comma 3, della legge n. 488/1999 e art. 1, comma 449, legge n. 296/2006). La violazione di tale obbligo determina, ai sensi dell’articolo 1, comma 1, della legge di conversione. n. 135/2012 e dell’articolo 11, comma 6, della Legge di conversione n. 115/2011, la nullità del contratto e costituisce illecito disciplinare nonché causa di responsabilità amministrativa;</w:t>
      </w:r>
    </w:p>
    <w:p w14:paraId="1D50F71E" w14:textId="5BA382EC" w:rsidR="00594E61" w:rsidRPr="0037607F" w:rsidRDefault="00594E61" w:rsidP="0095410C">
      <w:pPr>
        <w:rPr>
          <w:rFonts w:ascii="Times New Roman" w:hAnsi="Times New Roman" w:cs="Times New Roman"/>
        </w:rPr>
      </w:pPr>
      <w:r w:rsidRPr="0037607F">
        <w:rPr>
          <w:rFonts w:ascii="Times New Roman" w:hAnsi="Times New Roman" w:cs="Times New Roman"/>
        </w:rPr>
        <w:t>• l’obbligo per tutte le pubbliche amministrazioni di avvalersi di convenzioni Consip per l’acquisizione di energia elettrica, telefonia fissa e mobile, gas, combustibile da riscaldamento, carburanti rete ed extra-rete (art. 1, commi 7-9, d.L. n. 95/2012, conv. in legge n. 135/2012);</w:t>
      </w:r>
    </w:p>
    <w:p w14:paraId="4B0F8F2E" w14:textId="6AFE11AA" w:rsidR="00594E61" w:rsidRPr="0037607F" w:rsidRDefault="00594E61" w:rsidP="0095410C">
      <w:pPr>
        <w:rPr>
          <w:rFonts w:ascii="Times New Roman" w:hAnsi="Times New Roman" w:cs="Times New Roman"/>
        </w:rPr>
      </w:pPr>
      <w:r w:rsidRPr="0037607F">
        <w:rPr>
          <w:rFonts w:ascii="Times New Roman" w:hAnsi="Times New Roman" w:cs="Times New Roman"/>
        </w:rPr>
        <w:t>• l’obbligo per gli enti locali di fare ricorso al mercato elettronico della pubblica amministrazione ovvero ad altri mercati elettronici per gli acquisti di beni e servizi di importo pari o superiore a 5.000 euro e fino alla soglia comunitaria (art. 1, comma 450, legge n. 296/2006, come da ultimo modificato dall’articolo 1, comma 130, della legge n. 145/2018. Anche in tal caso la violazione dell’obbligo determina la nullità del contratto e costituisce illecito disciplinare e causa di responsabilità amministrativa, ai sensi dell’articolo 1, comma 1, della legge di conversione n. 135/2012;</w:t>
      </w:r>
    </w:p>
    <w:p w14:paraId="6E3E9EBC" w14:textId="77777777" w:rsidR="00EF5285" w:rsidRPr="0037607F" w:rsidRDefault="00EF5285" w:rsidP="0095410C">
      <w:pPr>
        <w:rPr>
          <w:rFonts w:ascii="Times New Roman" w:hAnsi="Times New Roman" w:cs="Times New Roman"/>
        </w:rPr>
      </w:pPr>
    </w:p>
    <w:p w14:paraId="2EF4AD0E" w14:textId="2FF8937B" w:rsidR="00594E61" w:rsidRPr="0037607F" w:rsidRDefault="00594E61" w:rsidP="0095410C">
      <w:pPr>
        <w:rPr>
          <w:rFonts w:ascii="Times New Roman" w:hAnsi="Times New Roman" w:cs="Times New Roman"/>
        </w:rPr>
      </w:pPr>
      <w:r w:rsidRPr="0037607F">
        <w:rPr>
          <w:rFonts w:ascii="Times New Roman" w:hAnsi="Times New Roman" w:cs="Times New Roman"/>
        </w:rPr>
        <w:t>Dato atto che il servizio da acquisire è pari ad € 26400,00 (comprensivo degli oneri della sicurezza non soggetti a ribasso)  e che il relativo CPV è presente sulla Piattaforma MePA.</w:t>
      </w:r>
    </w:p>
    <w:p w14:paraId="7B9FC7A7"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Dato atto :</w:t>
      </w:r>
    </w:p>
    <w:p w14:paraId="3BBB3C24" w14:textId="77777777" w:rsidR="00594E61" w:rsidRPr="0037607F" w:rsidRDefault="00594E61" w:rsidP="00594E61">
      <w:pPr>
        <w:pStyle w:val="Paragrafoelenco"/>
        <w:numPr>
          <w:ilvl w:val="0"/>
          <w:numId w:val="39"/>
        </w:numPr>
        <w:suppressAutoHyphens w:val="0"/>
        <w:spacing w:after="160" w:line="259" w:lineRule="auto"/>
        <w:rPr>
          <w:sz w:val="24"/>
          <w:szCs w:val="24"/>
        </w:rPr>
      </w:pPr>
      <w:r w:rsidRPr="0037607F">
        <w:rPr>
          <w:sz w:val="24"/>
          <w:szCs w:val="24"/>
        </w:rPr>
        <w:t>che l’importo complessivo contrattuale del servizio sopra specificato è inferiore ad 140.000,00 euro e che, pertanto, è possibile procedere in via autonoma all’affidamento dell’appalto del servizio in parola, ai sensi e per gli effetti dell’art. 50 comma 1 lett. b) del D.Lgs. n. 36/2023, mediante affidamento diretto senza procedimento di gara;</w:t>
      </w:r>
    </w:p>
    <w:p w14:paraId="796C9C0A" w14:textId="54B47F8E" w:rsidR="00594E61" w:rsidRPr="0037607F" w:rsidRDefault="00594E61" w:rsidP="0095410C">
      <w:pPr>
        <w:rPr>
          <w:rFonts w:ascii="Times New Roman" w:hAnsi="Times New Roman" w:cs="Times New Roman"/>
        </w:rPr>
      </w:pPr>
      <w:r w:rsidRPr="0037607F">
        <w:rPr>
          <w:rFonts w:ascii="Times New Roman" w:hAnsi="Times New Roman" w:cs="Times New Roman"/>
        </w:rPr>
        <w:t>-che le ragioni del ricorso all’affidamento diretto sono rinvenibili: nella necessità di coniugare i principi di libera concorrenza, non discriminazione, trasparenza e correttezza con i principi di efficacia, economicità, tempestività e proporzionalità e di risultato di cui agli artt. 1 e 3 del D.Lgs. n. 36/2023;</w:t>
      </w:r>
    </w:p>
    <w:p w14:paraId="0F9E3056" w14:textId="77777777" w:rsidR="00917BD4" w:rsidRPr="0037607F" w:rsidRDefault="00917BD4" w:rsidP="0095410C">
      <w:pPr>
        <w:rPr>
          <w:rFonts w:ascii="Times New Roman" w:hAnsi="Times New Roman" w:cs="Times New Roman"/>
        </w:rPr>
      </w:pPr>
    </w:p>
    <w:p w14:paraId="1E38BD0D" w14:textId="77777777" w:rsidR="00917BD4" w:rsidRPr="0037607F" w:rsidRDefault="00917BD4" w:rsidP="0095410C">
      <w:pPr>
        <w:rPr>
          <w:rFonts w:ascii="Times New Roman" w:hAnsi="Times New Roman" w:cs="Times New Roman"/>
        </w:rPr>
      </w:pPr>
    </w:p>
    <w:p w14:paraId="56AB35F3" w14:textId="42B11328" w:rsidR="00594E61" w:rsidRPr="0037607F" w:rsidRDefault="00594E61" w:rsidP="0095410C">
      <w:pPr>
        <w:rPr>
          <w:rFonts w:ascii="Times New Roman" w:hAnsi="Times New Roman" w:cs="Times New Roman"/>
        </w:rPr>
      </w:pPr>
      <w:r w:rsidRPr="0037607F">
        <w:rPr>
          <w:rFonts w:ascii="Times New Roman" w:hAnsi="Times New Roman" w:cs="Times New Roman"/>
        </w:rPr>
        <w:t>Considerato che:</w:t>
      </w:r>
    </w:p>
    <w:p w14:paraId="4B688CE1" w14:textId="0BDA7A2D" w:rsidR="00594E61" w:rsidRPr="0037607F" w:rsidRDefault="00594E61" w:rsidP="0095410C">
      <w:pPr>
        <w:rPr>
          <w:rFonts w:ascii="Times New Roman" w:hAnsi="Times New Roman" w:cs="Times New Roman"/>
        </w:rPr>
      </w:pPr>
      <w:r w:rsidRPr="0037607F">
        <w:rPr>
          <w:rFonts w:ascii="Times New Roman" w:hAnsi="Times New Roman" w:cs="Times New Roman"/>
        </w:rPr>
        <w:t>- il prezzo di affidamento diretto dell’appalto in oggetto può ritenersi congruo sulla base di specifica valutazione operata a cura del Responsabile del Servizio;</w:t>
      </w:r>
    </w:p>
    <w:p w14:paraId="04F165F1" w14:textId="494AE842" w:rsidR="00594E61" w:rsidRPr="0037607F" w:rsidRDefault="00594E61" w:rsidP="0095410C">
      <w:pPr>
        <w:rPr>
          <w:rFonts w:ascii="Times New Roman" w:hAnsi="Times New Roman" w:cs="Times New Roman"/>
        </w:rPr>
      </w:pPr>
      <w:r w:rsidRPr="0037607F">
        <w:rPr>
          <w:rFonts w:ascii="Times New Roman" w:hAnsi="Times New Roman" w:cs="Times New Roman"/>
        </w:rPr>
        <w:t>Visto che al finanziamento dell’appalto in parola si provvede mediante: fondi di bilancio</w:t>
      </w:r>
      <w:r w:rsidR="00526749">
        <w:rPr>
          <w:rFonts w:ascii="Times New Roman" w:hAnsi="Times New Roman" w:cs="Times New Roman"/>
        </w:rPr>
        <w:t>.</w:t>
      </w:r>
    </w:p>
    <w:p w14:paraId="3BE07118"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Ritenuto possibile affidare l’appalto del servizio sopra specificato, all’operatore economico ALFA BIT OMEGA con sede legale in via Gilberto Petti, 21 -84083- Castel San Giorgio (SA) P.IVA 02884930658 in quanto: trattasi di operatore  economico che per competenza e pregressa esperienza dimostrata presenta il dovuto livello di specializzazione necessaria all’effettuazione del servizio, il quale si è dimostrato disponibile ad eseguire l’appalto alle condizioni ritenute congrue dal Responsabile del Servizio;</w:t>
      </w:r>
    </w:p>
    <w:p w14:paraId="65295414" w14:textId="3223A02B" w:rsidR="00594E61" w:rsidRPr="0037607F" w:rsidRDefault="00594E61" w:rsidP="0095410C">
      <w:pPr>
        <w:rPr>
          <w:rFonts w:ascii="Times New Roman" w:hAnsi="Times New Roman" w:cs="Times New Roman"/>
        </w:rPr>
      </w:pPr>
      <w:r w:rsidRPr="0037607F">
        <w:rPr>
          <w:rFonts w:ascii="Times New Roman" w:hAnsi="Times New Roman" w:cs="Times New Roman"/>
        </w:rPr>
        <w:lastRenderedPageBreak/>
        <w:t>Constatato il possesso da parte dell’operatore economico dei requisiti generali di cui agli artt. 94 e 95 del D.Lgs. n. 36/2023 ;</w:t>
      </w:r>
    </w:p>
    <w:p w14:paraId="7D8B6FE9"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Preso atto della regolarità contributiva dell’operatore economico affidatario tramite verifica del DURC;</w:t>
      </w:r>
    </w:p>
    <w:p w14:paraId="69512604"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Visto il D.Lgs. 18 agosto 2000, n. 267 s.m.i;</w:t>
      </w:r>
    </w:p>
    <w:p w14:paraId="67B9A7E4" w14:textId="7214117D" w:rsidR="00594E61" w:rsidRPr="0037607F" w:rsidRDefault="00594E61" w:rsidP="0095410C">
      <w:pPr>
        <w:rPr>
          <w:rFonts w:ascii="Times New Roman" w:hAnsi="Times New Roman" w:cs="Times New Roman"/>
        </w:rPr>
      </w:pPr>
      <w:r w:rsidRPr="0037607F">
        <w:rPr>
          <w:rFonts w:ascii="Times New Roman" w:hAnsi="Times New Roman" w:cs="Times New Roman"/>
        </w:rPr>
        <w:t>Considerato che dal 1° gennaio 2024 la richiesta di CIG per procedure assoggettate al decreto legislativo n. 36/2023 avviene attraverso:</w:t>
      </w:r>
    </w:p>
    <w:p w14:paraId="586AC240"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 xml:space="preserve">a) Le piattaforme di approvvigionamento digitale certificate PAD mediante interpolarità con i servizi </w:t>
      </w:r>
    </w:p>
    <w:p w14:paraId="12AAE4B9"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erogati dalla PCP attraverso la Piattaforma Nazionale Dati PDND);</w:t>
      </w:r>
    </w:p>
    <w:p w14:paraId="695EF439" w14:textId="53B7DEAF" w:rsidR="00594E61" w:rsidRPr="0037607F" w:rsidRDefault="00594E61" w:rsidP="0095410C">
      <w:pPr>
        <w:rPr>
          <w:rFonts w:ascii="Times New Roman" w:hAnsi="Times New Roman" w:cs="Times New Roman"/>
        </w:rPr>
      </w:pPr>
      <w:r w:rsidRPr="0037607F">
        <w:rPr>
          <w:rFonts w:ascii="Times New Roman" w:hAnsi="Times New Roman" w:cs="Times New Roman"/>
        </w:rPr>
        <w:t>b) La piattaforma contratti pubblici – PCP dell’Autorità, solo per gli affidamenti diretti di importo inferiore a 5.000 euro e solo fino al 30 settembre 2024;</w:t>
      </w:r>
    </w:p>
    <w:p w14:paraId="62A01AF4" w14:textId="77777777" w:rsidR="00917BD4" w:rsidRPr="0037607F" w:rsidRDefault="00917BD4" w:rsidP="0095410C">
      <w:pPr>
        <w:rPr>
          <w:rFonts w:ascii="Times New Roman" w:hAnsi="Times New Roman" w:cs="Times New Roman"/>
        </w:rPr>
      </w:pPr>
    </w:p>
    <w:p w14:paraId="769BA01A" w14:textId="78209CDF" w:rsidR="00594E61" w:rsidRPr="0037607F" w:rsidRDefault="00594E61" w:rsidP="0095410C">
      <w:pPr>
        <w:rPr>
          <w:rFonts w:ascii="Times New Roman" w:hAnsi="Times New Roman" w:cs="Times New Roman"/>
        </w:rPr>
      </w:pPr>
      <w:r w:rsidRPr="0037607F">
        <w:rPr>
          <w:rFonts w:ascii="Times New Roman" w:hAnsi="Times New Roman" w:cs="Times New Roman"/>
        </w:rPr>
        <w:t xml:space="preserve">Dato atto che si provvederà ad acquisire il codice identificativo di gara “CIG” attribuito dall’ ANAC, con le modalità di cui sopra evidenziando, altresì, che la piattaforma di approvvigionamento digitale certificata PAD utilizzata dell’Ente per tale procedura è MePA di Consip ed il codice identificativo sarà allegato alla presente determinazione nella fase di pubblicazione, in quanto l’Anac ha disposto che potrà essere rilasciato solo </w:t>
      </w:r>
      <w:r w:rsidR="00917BD4" w:rsidRPr="0037607F">
        <w:rPr>
          <w:rFonts w:ascii="Times New Roman" w:hAnsi="Times New Roman" w:cs="Times New Roman"/>
        </w:rPr>
        <w:t xml:space="preserve">ad </w:t>
      </w:r>
      <w:r w:rsidRPr="0037607F">
        <w:rPr>
          <w:rFonts w:ascii="Times New Roman" w:hAnsi="Times New Roman" w:cs="Times New Roman"/>
        </w:rPr>
        <w:t>aggiudicazione avvenuta.</w:t>
      </w:r>
    </w:p>
    <w:p w14:paraId="763B8939" w14:textId="33109F5C" w:rsidR="00594E61" w:rsidRPr="0037607F" w:rsidRDefault="00594E61" w:rsidP="0095410C">
      <w:pPr>
        <w:rPr>
          <w:rFonts w:ascii="Times New Roman" w:hAnsi="Times New Roman" w:cs="Times New Roman"/>
        </w:rPr>
      </w:pPr>
      <w:r w:rsidRPr="0037607F">
        <w:rPr>
          <w:rFonts w:ascii="Times New Roman" w:hAnsi="Times New Roman" w:cs="Times New Roman"/>
        </w:rPr>
        <w:t>VISTO il comma 8 dell’articolo 183 del D. Lgs 267/2000 che recita “Al fine di evitare ritardi nei pagamenti e la formazione di debiti pregressi, il responsabile della spesa che adotta provvedimenti che comportano impegni di spesa ha l'obbligo di accertare preventivamente che il programma dei conseguenti pagamenti sia compatibile con i relativi stanziamenti di cassa e con le regole del patto di stabilità interno; la violazione dell'obbligo di accertamento di cui al presente comma comporta responsabilità disciplinare ed</w:t>
      </w:r>
      <w:r w:rsidR="00415D98" w:rsidRPr="0037607F">
        <w:rPr>
          <w:rFonts w:ascii="Times New Roman" w:hAnsi="Times New Roman" w:cs="Times New Roman"/>
        </w:rPr>
        <w:t xml:space="preserve"> </w:t>
      </w:r>
      <w:r w:rsidRPr="0037607F">
        <w:rPr>
          <w:rFonts w:ascii="Times New Roman" w:hAnsi="Times New Roman" w:cs="Times New Roman"/>
        </w:rPr>
        <w:t>amministrativa. Qualora lo stanziamento di cassa, per ragioni sopravvenute, non consenta di far fronte</w:t>
      </w:r>
      <w:r w:rsidR="00415D98" w:rsidRPr="0037607F">
        <w:rPr>
          <w:rFonts w:ascii="Times New Roman" w:hAnsi="Times New Roman" w:cs="Times New Roman"/>
        </w:rPr>
        <w:t xml:space="preserve"> </w:t>
      </w:r>
      <w:r w:rsidRPr="0037607F">
        <w:rPr>
          <w:rFonts w:ascii="Times New Roman" w:hAnsi="Times New Roman" w:cs="Times New Roman"/>
        </w:rPr>
        <w:t>all'obbligo contrattuale, l'amministrazione adotta le opportune iniziative, anche di tipo contabile, amministrativo o contrattuale, per evitare la formazione di debit</w:t>
      </w:r>
      <w:r w:rsidR="008A7F89">
        <w:rPr>
          <w:rFonts w:ascii="Times New Roman" w:hAnsi="Times New Roman" w:cs="Times New Roman"/>
        </w:rPr>
        <w:t>i pregressi.</w:t>
      </w:r>
    </w:p>
    <w:p w14:paraId="650C34DC" w14:textId="77777777" w:rsidR="00594E61" w:rsidRPr="0037607F" w:rsidRDefault="00594E61" w:rsidP="0095410C">
      <w:pPr>
        <w:rPr>
          <w:rFonts w:ascii="Times New Roman" w:hAnsi="Times New Roman" w:cs="Times New Roman"/>
        </w:rPr>
      </w:pPr>
    </w:p>
    <w:p w14:paraId="2054BE28"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 xml:space="preserve">                                                                        </w:t>
      </w:r>
    </w:p>
    <w:p w14:paraId="6E0FBD06" w14:textId="504DD4C8" w:rsidR="00594E61" w:rsidRPr="0037607F" w:rsidRDefault="00594E61" w:rsidP="00415D98">
      <w:pPr>
        <w:jc w:val="center"/>
        <w:rPr>
          <w:rFonts w:ascii="Times New Roman" w:hAnsi="Times New Roman" w:cs="Times New Roman"/>
        </w:rPr>
      </w:pPr>
      <w:r w:rsidRPr="0037607F">
        <w:rPr>
          <w:rFonts w:ascii="Times New Roman" w:hAnsi="Times New Roman" w:cs="Times New Roman"/>
        </w:rPr>
        <w:t>DETERMINA</w:t>
      </w:r>
    </w:p>
    <w:p w14:paraId="62DF412B" w14:textId="641022D0" w:rsidR="00594E61" w:rsidRPr="0037607F" w:rsidRDefault="00594E61" w:rsidP="0095410C">
      <w:pPr>
        <w:rPr>
          <w:rFonts w:ascii="Times New Roman" w:hAnsi="Times New Roman" w:cs="Times New Roman"/>
        </w:rPr>
      </w:pPr>
      <w:r w:rsidRPr="0037607F">
        <w:rPr>
          <w:rFonts w:ascii="Times New Roman" w:hAnsi="Times New Roman" w:cs="Times New Roman"/>
        </w:rPr>
        <w:t>DI DARE ATTO che la premessa costituisce parte integrante e sostanziale del presente atto e che si intende integralmente richiamata, costituendone la motivazione ai sensi dell’art. 3 della L. 241/1990 ss.mm.ii.;</w:t>
      </w:r>
    </w:p>
    <w:p w14:paraId="29D3FDD1" w14:textId="1A7C211C" w:rsidR="00594E61" w:rsidRPr="0037607F" w:rsidRDefault="00594E61" w:rsidP="0095410C">
      <w:pPr>
        <w:rPr>
          <w:rFonts w:ascii="Times New Roman" w:hAnsi="Times New Roman" w:cs="Times New Roman"/>
        </w:rPr>
      </w:pPr>
      <w:r w:rsidRPr="0037607F">
        <w:rPr>
          <w:rFonts w:ascii="Times New Roman" w:hAnsi="Times New Roman" w:cs="Times New Roman"/>
        </w:rPr>
        <w:t>DI AFFIDARE, per le ragioni puntualmente specificate in premessa e qui approvate, all’opera</w:t>
      </w:r>
      <w:r w:rsidR="00526749">
        <w:rPr>
          <w:rFonts w:ascii="Times New Roman" w:hAnsi="Times New Roman" w:cs="Times New Roman"/>
        </w:rPr>
        <w:t xml:space="preserve">tore Economico ALFA BIT OMEGA, </w:t>
      </w:r>
      <w:r w:rsidRPr="0037607F">
        <w:rPr>
          <w:rFonts w:ascii="Times New Roman" w:hAnsi="Times New Roman" w:cs="Times New Roman"/>
        </w:rPr>
        <w:t>la fornitura in oggetto, per un importo pari ad € 26400 (compreso oneri di sicurezza non soggetti a ribasso d’asta ) I.V.A. esclusa, mediante affidamento diretto  ai sensi dell’art. 50 comma 1 lett b) del D.Lgs. n. 36/2023</w:t>
      </w:r>
    </w:p>
    <w:p w14:paraId="44BD03AE"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 xml:space="preserve">DI PRENDERE E DARE ATTO che l’importo contrattuale complessivo è pari ad euro € 26400,00 oltre I.V.A. </w:t>
      </w:r>
    </w:p>
    <w:p w14:paraId="2243125D"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DI IMPEGNARE, giusto perfezionamento dell’obbligazione giuridica avvenuta tramite la piattaforma di approvvigionamento digitale MePA</w:t>
      </w:r>
    </w:p>
    <w:p w14:paraId="02243FB3"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lastRenderedPageBreak/>
        <w:t>DI EVIDENZIARE che il codice IPA per la fatturazione elettronica è il seguente: UFSIHH</w:t>
      </w:r>
    </w:p>
    <w:p w14:paraId="61F4A477" w14:textId="5BB7244B" w:rsidR="00594E61" w:rsidRPr="0037607F" w:rsidRDefault="00594E61" w:rsidP="0095410C">
      <w:pPr>
        <w:rPr>
          <w:rFonts w:ascii="Times New Roman" w:hAnsi="Times New Roman" w:cs="Times New Roman"/>
        </w:rPr>
      </w:pPr>
      <w:r w:rsidRPr="0037607F">
        <w:rPr>
          <w:rFonts w:ascii="Times New Roman" w:hAnsi="Times New Roman" w:cs="Times New Roman"/>
        </w:rPr>
        <w:t>DI ACCERTARE, ai fini del controllo preventivo di regolarità amministrativa di cui all’articolo 147-bis, comma 1, del D.Lgs. n- 267/2000, la regolarità tecnica del presente provvedimento in ordine alla regolarità, legittimità e correttezza dell’azione amministrativa, il cui parere favorevole è reso unitamente alla</w:t>
      </w:r>
      <w:r w:rsidR="00E67E98" w:rsidRPr="0037607F">
        <w:rPr>
          <w:rFonts w:ascii="Times New Roman" w:hAnsi="Times New Roman" w:cs="Times New Roman"/>
        </w:rPr>
        <w:t xml:space="preserve"> </w:t>
      </w:r>
      <w:r w:rsidRPr="0037607F">
        <w:rPr>
          <w:rFonts w:ascii="Times New Roman" w:hAnsi="Times New Roman" w:cs="Times New Roman"/>
        </w:rPr>
        <w:t>sottoscrizione del presente provvedimento da par</w:t>
      </w:r>
      <w:r w:rsidR="00791834">
        <w:rPr>
          <w:rFonts w:ascii="Times New Roman" w:hAnsi="Times New Roman" w:cs="Times New Roman"/>
        </w:rPr>
        <w:t>te del rappresentante legale</w:t>
      </w:r>
      <w:r w:rsidRPr="0037607F">
        <w:rPr>
          <w:rFonts w:ascii="Times New Roman" w:hAnsi="Times New Roman" w:cs="Times New Roman"/>
        </w:rPr>
        <w:t>;</w:t>
      </w:r>
    </w:p>
    <w:p w14:paraId="01D481B5" w14:textId="3BA5ECE9" w:rsidR="00830457" w:rsidRPr="00830457" w:rsidRDefault="00830457" w:rsidP="00830457">
      <w:pPr>
        <w:jc w:val="both"/>
        <w:rPr>
          <w:rFonts w:ascii="Times New Roman" w:hAnsi="Times New Roman" w:cs="Times New Roman"/>
          <w:b/>
        </w:rPr>
      </w:pPr>
      <w:r>
        <w:rPr>
          <w:rFonts w:ascii="Times New Roman" w:hAnsi="Times New Roman" w:cs="Times New Roman"/>
        </w:rPr>
        <w:t>DI DARE ATTO CHE</w:t>
      </w:r>
    </w:p>
    <w:p w14:paraId="03342661" w14:textId="5396835F" w:rsidR="008A7F89" w:rsidRPr="0037607F" w:rsidRDefault="00830457" w:rsidP="008A7F89">
      <w:pPr>
        <w:rPr>
          <w:rFonts w:ascii="Times New Roman" w:hAnsi="Times New Roman" w:cs="Times New Roman"/>
        </w:rPr>
      </w:pPr>
      <w:r>
        <w:rPr>
          <w:rFonts w:ascii="Times New Roman" w:hAnsi="Times New Roman" w:cs="Times New Roman"/>
        </w:rPr>
        <w:t>a seguito dei controlli contabili effettuati a norma</w:t>
      </w:r>
      <w:r w:rsidR="00D74A8D">
        <w:rPr>
          <w:rFonts w:ascii="Times New Roman" w:hAnsi="Times New Roman" w:cs="Times New Roman"/>
        </w:rPr>
        <w:t>:</w:t>
      </w:r>
      <w:r>
        <w:rPr>
          <w:rFonts w:ascii="Times New Roman" w:hAnsi="Times New Roman" w:cs="Times New Roman"/>
        </w:rPr>
        <w:t xml:space="preserve"> de</w:t>
      </w:r>
      <w:r w:rsidRPr="0037607F">
        <w:rPr>
          <w:rFonts w:ascii="Times New Roman" w:hAnsi="Times New Roman" w:cs="Times New Roman"/>
        </w:rPr>
        <w:t xml:space="preserve">ll’art. 147 bis, comma 1, del </w:t>
      </w:r>
      <w:r>
        <w:rPr>
          <w:rFonts w:ascii="Times New Roman" w:hAnsi="Times New Roman" w:cs="Times New Roman"/>
        </w:rPr>
        <w:t xml:space="preserve">D.Lgs. n. 267/2000; </w:t>
      </w:r>
      <w:r w:rsidR="00D74A8D">
        <w:rPr>
          <w:rFonts w:ascii="Times New Roman" w:hAnsi="Times New Roman" w:cs="Times New Roman"/>
        </w:rPr>
        <w:t>dell’</w:t>
      </w:r>
      <w:r w:rsidRPr="00830457">
        <w:rPr>
          <w:rFonts w:ascii="Times New Roman" w:hAnsi="Times New Roman" w:cs="Times New Roman"/>
          <w:iCs/>
        </w:rPr>
        <w:t>art. 147-bis del decreto Legislativo 8 agosto 2000 n. 267</w:t>
      </w:r>
      <w:r w:rsidR="00D74A8D">
        <w:rPr>
          <w:rFonts w:ascii="Times New Roman" w:hAnsi="Times New Roman" w:cs="Times New Roman"/>
          <w:iCs/>
        </w:rPr>
        <w:t>,</w:t>
      </w:r>
      <w:r w:rsidRPr="00830457">
        <w:rPr>
          <w:rFonts w:ascii="Times New Roman" w:hAnsi="Times New Roman" w:cs="Times New Roman"/>
          <w:iCs/>
        </w:rPr>
        <w:t xml:space="preserve"> </w:t>
      </w:r>
      <w:r w:rsidR="00D74A8D">
        <w:rPr>
          <w:rFonts w:ascii="Times New Roman" w:hAnsi="Times New Roman" w:cs="Times New Roman"/>
        </w:rPr>
        <w:t xml:space="preserve">il presente atto risulta compatibile </w:t>
      </w:r>
      <w:r w:rsidRPr="00D74A8D">
        <w:rPr>
          <w:rFonts w:ascii="Times New Roman" w:hAnsi="Times New Roman" w:cs="Times New Roman"/>
        </w:rPr>
        <w:t>con gli stanziamenti di bilancio e con le regole di finanza pubblica ai sensi dell’art. 9, comma 1, lettera a.2), del D.L. 78/2009 convertito in Legge 102/2009 e dell’art. 183 comma 8 del D.lgs. 267/2000, nonché quanto previsto dagli artt. 147-bis comma 1 e 151 comm</w:t>
      </w:r>
      <w:r w:rsidR="00D74A8D">
        <w:rPr>
          <w:rFonts w:ascii="Times New Roman" w:hAnsi="Times New Roman" w:cs="Times New Roman"/>
        </w:rPr>
        <w:t>a 4 del D.lgs. 18.8.2000 n. 267. Per quanto sopra specificato, quindi</w:t>
      </w:r>
      <w:r w:rsidR="008A7F89">
        <w:rPr>
          <w:rFonts w:ascii="Times New Roman" w:hAnsi="Times New Roman" w:cs="Times New Roman"/>
        </w:rPr>
        <w:t>,</w:t>
      </w:r>
      <w:r w:rsidR="00D74A8D">
        <w:rPr>
          <w:rFonts w:ascii="Times New Roman" w:hAnsi="Times New Roman" w:cs="Times New Roman"/>
        </w:rPr>
        <w:t xml:space="preserve"> il costo complessivo del presente </w:t>
      </w:r>
      <w:r w:rsidRPr="00D74A8D">
        <w:rPr>
          <w:rFonts w:ascii="Times New Roman" w:hAnsi="Times New Roman" w:cs="Times New Roman"/>
        </w:rPr>
        <w:t>affidamento trova c</w:t>
      </w:r>
      <w:r w:rsidR="008A7F89">
        <w:rPr>
          <w:rFonts w:ascii="Times New Roman" w:hAnsi="Times New Roman" w:cs="Times New Roman"/>
        </w:rPr>
        <w:t xml:space="preserve">opertura nel bilancio dell’Ente e si certifica la regolarità contabile </w:t>
      </w:r>
      <w:r w:rsidR="008A7F89" w:rsidRPr="0037607F">
        <w:rPr>
          <w:rFonts w:ascii="Times New Roman" w:hAnsi="Times New Roman" w:cs="Times New Roman"/>
        </w:rPr>
        <w:t>ai sensi dell’art. 151, comma 4, D.Lgs 267/00.</w:t>
      </w:r>
    </w:p>
    <w:p w14:paraId="1499EEFA" w14:textId="6188A717" w:rsidR="00594E61" w:rsidRPr="00D74A8D" w:rsidRDefault="00594E61" w:rsidP="00D74A8D">
      <w:pPr>
        <w:pStyle w:val="Default"/>
        <w:rPr>
          <w:rFonts w:ascii="Times New Roman" w:hAnsi="Times New Roman" w:cs="Times New Roman"/>
          <w:b/>
        </w:rPr>
      </w:pPr>
      <w:r w:rsidRPr="0037607F">
        <w:rPr>
          <w:rFonts w:ascii="Times New Roman" w:hAnsi="Times New Roman" w:cs="Times New Roman"/>
        </w:rPr>
        <w:t>DI DARE ATTO che la presente determinazione verrà pubblicata sul sito Web istituzionale, nella sezione Amministrazione trasparente, ai sensi del Dlgs 14 marzo 2013 n. 3 e s.m.i.</w:t>
      </w:r>
    </w:p>
    <w:p w14:paraId="367EAE93" w14:textId="30DA683C" w:rsidR="00594E61" w:rsidRPr="0037607F" w:rsidRDefault="00594E61" w:rsidP="0095410C">
      <w:pPr>
        <w:rPr>
          <w:rFonts w:ascii="Times New Roman" w:hAnsi="Times New Roman" w:cs="Times New Roman"/>
        </w:rPr>
      </w:pPr>
      <w:r w:rsidRPr="0037607F">
        <w:rPr>
          <w:rFonts w:ascii="Times New Roman" w:hAnsi="Times New Roman" w:cs="Times New Roman"/>
        </w:rPr>
        <w:t xml:space="preserve">DI DARE ATTO che gli affidatari ai sensi dell’art. 3 della Legge 136/2010 si assumeranno, a pena di nullità del contratto, gli obblighi di tracciabilità dei flussi finanziari impegnandosi alla comunicazione del conto corrente dedicato ad appalti pubblici di cui al comma 7 del citato articolo; </w:t>
      </w:r>
    </w:p>
    <w:p w14:paraId="43D2B131" w14:textId="3F06A275" w:rsidR="00594E61" w:rsidRPr="0037607F" w:rsidRDefault="00594E61" w:rsidP="0095410C">
      <w:pPr>
        <w:rPr>
          <w:rFonts w:ascii="Times New Roman" w:hAnsi="Times New Roman" w:cs="Times New Roman"/>
        </w:rPr>
      </w:pPr>
      <w:r w:rsidRPr="0037607F">
        <w:rPr>
          <w:rFonts w:ascii="Times New Roman" w:hAnsi="Times New Roman" w:cs="Times New Roman"/>
        </w:rPr>
        <w:t>DI TRASMETTERE, per quanto di competenza, la presente determinazione a al Responsabile del servizio finanziario per la registrazione dell’impegno della spesa;</w:t>
      </w:r>
    </w:p>
    <w:p w14:paraId="4A71270E" w14:textId="74016468" w:rsidR="00594E61" w:rsidRPr="0037607F" w:rsidRDefault="008A7F89" w:rsidP="0095410C">
      <w:pPr>
        <w:rPr>
          <w:rFonts w:ascii="Times New Roman" w:hAnsi="Times New Roman" w:cs="Times New Roman"/>
        </w:rPr>
      </w:pPr>
      <w:r>
        <w:rPr>
          <w:rFonts w:ascii="Times New Roman" w:hAnsi="Times New Roman" w:cs="Times New Roman"/>
        </w:rPr>
        <w:t xml:space="preserve"> </w:t>
      </w:r>
    </w:p>
    <w:p w14:paraId="71F42125" w14:textId="77777777" w:rsidR="00594E61" w:rsidRPr="0037607F" w:rsidRDefault="00594E61" w:rsidP="0095410C">
      <w:pPr>
        <w:jc w:val="right"/>
        <w:rPr>
          <w:rFonts w:ascii="Times New Roman" w:hAnsi="Times New Roman" w:cs="Times New Roman"/>
        </w:rPr>
      </w:pPr>
      <w:r w:rsidRPr="0037607F">
        <w:rPr>
          <w:rFonts w:ascii="Times New Roman" w:hAnsi="Times New Roman" w:cs="Times New Roman"/>
        </w:rPr>
        <w:t xml:space="preserve"> </w:t>
      </w:r>
    </w:p>
    <w:p w14:paraId="0D92A5F1" w14:textId="77777777" w:rsidR="00E653C0" w:rsidRPr="0037607F" w:rsidRDefault="00E653C0" w:rsidP="0095410C">
      <w:pPr>
        <w:jc w:val="right"/>
        <w:rPr>
          <w:rFonts w:ascii="Times New Roman" w:hAnsi="Times New Roman" w:cs="Times New Roman"/>
        </w:rPr>
      </w:pPr>
    </w:p>
    <w:p w14:paraId="43680555" w14:textId="77777777" w:rsidR="00E653C0" w:rsidRPr="0037607F" w:rsidRDefault="00E653C0" w:rsidP="0095410C">
      <w:pPr>
        <w:jc w:val="right"/>
        <w:rPr>
          <w:rFonts w:ascii="Times New Roman" w:hAnsi="Times New Roman" w:cs="Times New Roman"/>
        </w:rPr>
      </w:pPr>
    </w:p>
    <w:p w14:paraId="3DA87935" w14:textId="4DF4CCF7" w:rsidR="00594E61" w:rsidRPr="0037607F" w:rsidRDefault="00594E61" w:rsidP="008A7F89">
      <w:pPr>
        <w:jc w:val="center"/>
        <w:rPr>
          <w:rFonts w:ascii="Times New Roman" w:hAnsi="Times New Roman" w:cs="Times New Roman"/>
        </w:rPr>
      </w:pPr>
      <w:r w:rsidRPr="0037607F">
        <w:rPr>
          <w:rFonts w:ascii="Times New Roman" w:hAnsi="Times New Roman" w:cs="Times New Roman"/>
        </w:rPr>
        <w:t>Il direttore generale vicario</w:t>
      </w:r>
    </w:p>
    <w:p w14:paraId="153D6DAE" w14:textId="77777777" w:rsidR="009921D0" w:rsidRPr="0037607F" w:rsidRDefault="00594E61" w:rsidP="008A7F89">
      <w:pPr>
        <w:jc w:val="center"/>
        <w:rPr>
          <w:rFonts w:ascii="Times New Roman" w:hAnsi="Times New Roman" w:cs="Times New Roman"/>
        </w:rPr>
      </w:pPr>
      <w:r w:rsidRPr="0037607F">
        <w:rPr>
          <w:rFonts w:ascii="Times New Roman" w:hAnsi="Times New Roman" w:cs="Times New Roman"/>
        </w:rPr>
        <w:t xml:space="preserve">dott. Romeo Nesi </w:t>
      </w:r>
    </w:p>
    <w:p w14:paraId="169C0ED9" w14:textId="77777777" w:rsidR="009921D0" w:rsidRPr="0037607F" w:rsidRDefault="009921D0" w:rsidP="009921D0">
      <w:pPr>
        <w:jc w:val="right"/>
        <w:rPr>
          <w:rFonts w:ascii="Times New Roman" w:hAnsi="Times New Roman" w:cs="Times New Roman"/>
        </w:rPr>
      </w:pPr>
    </w:p>
    <w:p w14:paraId="34FFA017" w14:textId="108CFF96" w:rsidR="008A7F89" w:rsidRPr="00B520DB" w:rsidRDefault="008A7F89" w:rsidP="008A7F89">
      <w:pPr>
        <w:ind w:right="561"/>
        <w:jc w:val="right"/>
        <w:rPr>
          <w:rFonts w:ascii="Times New Roman" w:hAnsi="Times New Roman" w:cs="Times New Roman"/>
          <w:i/>
        </w:rPr>
      </w:pPr>
      <w:r>
        <w:rPr>
          <w:rFonts w:ascii="Times New Roman" w:hAnsi="Times New Roman" w:cs="Times New Roman"/>
          <w:i/>
        </w:rPr>
        <w:t xml:space="preserve">    </w:t>
      </w:r>
      <w:r w:rsidRPr="00B520DB">
        <w:rPr>
          <w:rFonts w:ascii="Times New Roman" w:hAnsi="Times New Roman" w:cs="Times New Roman"/>
          <w:i/>
        </w:rPr>
        <w:t>(Firma autografa omessa ai sensi dell’art. 3 del d.lgs. 39/1993)</w:t>
      </w:r>
    </w:p>
    <w:p w14:paraId="1D4AD4FD" w14:textId="77777777" w:rsidR="009921D0" w:rsidRPr="0037607F" w:rsidRDefault="009921D0" w:rsidP="008A7F89">
      <w:pPr>
        <w:jc w:val="right"/>
        <w:rPr>
          <w:rFonts w:ascii="Times New Roman" w:hAnsi="Times New Roman" w:cs="Times New Roman"/>
        </w:rPr>
      </w:pPr>
    </w:p>
    <w:p w14:paraId="6D9D7BC4" w14:textId="77777777" w:rsidR="009921D0" w:rsidRPr="0037607F" w:rsidRDefault="009921D0" w:rsidP="009921D0">
      <w:pPr>
        <w:jc w:val="right"/>
        <w:rPr>
          <w:rFonts w:ascii="Times New Roman" w:hAnsi="Times New Roman" w:cs="Times New Roman"/>
        </w:rPr>
      </w:pPr>
    </w:p>
    <w:p w14:paraId="5D4EBAAE" w14:textId="77777777" w:rsidR="009921D0" w:rsidRPr="0037607F" w:rsidRDefault="009921D0" w:rsidP="009921D0">
      <w:pPr>
        <w:jc w:val="right"/>
        <w:rPr>
          <w:rFonts w:ascii="Times New Roman" w:hAnsi="Times New Roman" w:cs="Times New Roman"/>
        </w:rPr>
      </w:pPr>
    </w:p>
    <w:p w14:paraId="6C2611FB" w14:textId="77777777" w:rsidR="009921D0" w:rsidRPr="0037607F" w:rsidRDefault="009921D0" w:rsidP="009921D0">
      <w:pPr>
        <w:jc w:val="right"/>
        <w:rPr>
          <w:rFonts w:ascii="Times New Roman" w:hAnsi="Times New Roman" w:cs="Times New Roman"/>
        </w:rPr>
      </w:pPr>
    </w:p>
    <w:p w14:paraId="311242BF" w14:textId="77777777" w:rsidR="009921D0" w:rsidRPr="0037607F" w:rsidRDefault="009921D0" w:rsidP="009921D0">
      <w:pPr>
        <w:jc w:val="right"/>
        <w:rPr>
          <w:rFonts w:ascii="Times New Roman" w:hAnsi="Times New Roman" w:cs="Times New Roman"/>
        </w:rPr>
      </w:pPr>
    </w:p>
    <w:p w14:paraId="7F70C772" w14:textId="13532CDD" w:rsidR="00292683" w:rsidRPr="0037607F" w:rsidRDefault="00292683" w:rsidP="009921D0">
      <w:pPr>
        <w:jc w:val="right"/>
        <w:rPr>
          <w:rFonts w:ascii="Times New Roman" w:hAnsi="Times New Roman" w:cs="Times New Roman"/>
        </w:rPr>
      </w:pPr>
    </w:p>
    <w:p w14:paraId="24A04E90" w14:textId="7DFA41FC" w:rsidR="00292683" w:rsidRPr="0037607F" w:rsidRDefault="00292683" w:rsidP="00292683">
      <w:pPr>
        <w:jc w:val="center"/>
        <w:rPr>
          <w:rFonts w:ascii="Times New Roman" w:hAnsi="Times New Roman" w:cs="Times New Roman"/>
        </w:rPr>
      </w:pPr>
    </w:p>
    <w:p w14:paraId="34F29E63" w14:textId="77777777" w:rsidR="00292683" w:rsidRPr="0037607F" w:rsidRDefault="00292683" w:rsidP="00292683">
      <w:pPr>
        <w:jc w:val="center"/>
        <w:rPr>
          <w:rFonts w:ascii="Times New Roman" w:hAnsi="Times New Roman" w:cs="Times New Roman"/>
        </w:rPr>
      </w:pPr>
    </w:p>
    <w:p w14:paraId="5AB31F05" w14:textId="77777777" w:rsidR="00292683" w:rsidRPr="0037607F" w:rsidRDefault="00292683" w:rsidP="00292683">
      <w:pPr>
        <w:jc w:val="center"/>
        <w:rPr>
          <w:rFonts w:ascii="Times New Roman" w:hAnsi="Times New Roman" w:cs="Times New Roman"/>
        </w:rPr>
      </w:pPr>
    </w:p>
    <w:p w14:paraId="24B9E19A" w14:textId="77777777" w:rsidR="00292683" w:rsidRPr="0037607F" w:rsidRDefault="00292683" w:rsidP="00292683">
      <w:pPr>
        <w:jc w:val="center"/>
        <w:rPr>
          <w:rFonts w:ascii="Times New Roman" w:hAnsi="Times New Roman" w:cs="Times New Roman"/>
        </w:rPr>
      </w:pPr>
    </w:p>
    <w:p w14:paraId="0A10A22C" w14:textId="77777777" w:rsidR="00292683" w:rsidRPr="0037607F" w:rsidRDefault="00292683" w:rsidP="00292683">
      <w:pPr>
        <w:jc w:val="center"/>
        <w:rPr>
          <w:rFonts w:ascii="Times New Roman" w:hAnsi="Times New Roman" w:cs="Times New Roman"/>
        </w:rPr>
      </w:pPr>
    </w:p>
    <w:p w14:paraId="5A567843" w14:textId="5C742C72" w:rsidR="00292683" w:rsidRPr="0037607F" w:rsidRDefault="00292683" w:rsidP="00060E2A">
      <w:pPr>
        <w:rPr>
          <w:rFonts w:ascii="Times New Roman" w:hAnsi="Times New Roman" w:cs="Times New Roman"/>
          <w:shd w:val="clear" w:color="auto" w:fill="F9F9F9"/>
        </w:rPr>
      </w:pPr>
    </w:p>
    <w:p w14:paraId="42509235" w14:textId="77777777" w:rsidR="00292683" w:rsidRPr="0037607F" w:rsidRDefault="00292683" w:rsidP="00292683">
      <w:pPr>
        <w:jc w:val="center"/>
        <w:rPr>
          <w:rFonts w:ascii="Times New Roman" w:hAnsi="Times New Roman" w:cs="Times New Roman"/>
        </w:rPr>
      </w:pPr>
    </w:p>
    <w:p w14:paraId="2805DC5D" w14:textId="77777777" w:rsidR="00292683" w:rsidRPr="0037607F" w:rsidRDefault="00292683" w:rsidP="00292683">
      <w:pPr>
        <w:jc w:val="center"/>
        <w:rPr>
          <w:rFonts w:ascii="Times New Roman" w:hAnsi="Times New Roman" w:cs="Times New Roman"/>
        </w:rPr>
      </w:pPr>
    </w:p>
    <w:p w14:paraId="03E39EDA" w14:textId="77777777" w:rsidR="00292683" w:rsidRPr="0037607F" w:rsidRDefault="00292683" w:rsidP="00292683">
      <w:pPr>
        <w:jc w:val="center"/>
        <w:rPr>
          <w:rFonts w:ascii="Times New Roman" w:hAnsi="Times New Roman" w:cs="Times New Roman"/>
        </w:rPr>
      </w:pPr>
    </w:p>
    <w:p w14:paraId="17C58A16" w14:textId="77777777" w:rsidR="00292683" w:rsidRPr="0037607F" w:rsidRDefault="00292683" w:rsidP="00292683">
      <w:pPr>
        <w:jc w:val="center"/>
        <w:rPr>
          <w:rFonts w:ascii="Times New Roman" w:hAnsi="Times New Roman" w:cs="Times New Roman"/>
        </w:rPr>
      </w:pPr>
    </w:p>
    <w:p w14:paraId="104F3627" w14:textId="77777777" w:rsidR="00292683" w:rsidRPr="0037607F" w:rsidRDefault="00292683" w:rsidP="00292683">
      <w:pPr>
        <w:jc w:val="both"/>
        <w:rPr>
          <w:rFonts w:ascii="Times New Roman" w:hAnsi="Times New Roman" w:cs="Times New Roman"/>
        </w:rPr>
      </w:pPr>
    </w:p>
    <w:p w14:paraId="49DD2692" w14:textId="490F167C" w:rsidR="00A24969" w:rsidRPr="0037607F" w:rsidRDefault="00292683" w:rsidP="00A24969">
      <w:pPr>
        <w:rPr>
          <w:rFonts w:ascii="Times New Roman" w:hAnsi="Times New Roman" w:cs="Times New Roman"/>
        </w:rPr>
      </w:pPr>
      <w:r w:rsidRPr="0037607F">
        <w:rPr>
          <w:rFonts w:ascii="Times New Roman" w:hAnsi="Times New Roman" w:cs="Times New Roman"/>
        </w:rPr>
        <w:br w:type="page"/>
      </w:r>
      <w:r w:rsidR="00A24969" w:rsidRPr="0037607F">
        <w:rPr>
          <w:rFonts w:ascii="Times New Roman" w:hAnsi="Times New Roman" w:cs="Times New Roman"/>
        </w:rPr>
        <w:lastRenderedPageBreak/>
        <w:t xml:space="preserve"> </w:t>
      </w:r>
    </w:p>
    <w:p w14:paraId="441D95EA" w14:textId="77777777" w:rsidR="00A24969" w:rsidRPr="0037607F" w:rsidRDefault="00A24969" w:rsidP="00A24969">
      <w:pPr>
        <w:jc w:val="both"/>
        <w:rPr>
          <w:rFonts w:ascii="Times New Roman" w:hAnsi="Times New Roman" w:cs="Times New Roman"/>
          <w:b/>
        </w:rPr>
      </w:pPr>
    </w:p>
    <w:p w14:paraId="3E0D1AE8" w14:textId="77777777" w:rsidR="00A24969" w:rsidRPr="0037607F" w:rsidRDefault="00A24969" w:rsidP="00EC3800">
      <w:pPr>
        <w:jc w:val="center"/>
        <w:rPr>
          <w:rFonts w:ascii="Times New Roman" w:hAnsi="Times New Roman" w:cs="Times New Roman"/>
          <w:b/>
        </w:rPr>
      </w:pPr>
    </w:p>
    <w:p w14:paraId="120115FC" w14:textId="46EBE250" w:rsidR="005A7C09" w:rsidRPr="0037607F" w:rsidRDefault="005A7C09" w:rsidP="005A7C09">
      <w:pPr>
        <w:rPr>
          <w:rFonts w:ascii="Times New Roman" w:hAnsi="Times New Roman" w:cs="Times New Roman"/>
          <w:b/>
        </w:rPr>
      </w:pPr>
    </w:p>
    <w:p w14:paraId="6F43B285" w14:textId="37C23C8D" w:rsidR="00EE60E1" w:rsidRPr="0037607F" w:rsidRDefault="005C3273" w:rsidP="008413E5">
      <w:pPr>
        <w:ind w:left="1440"/>
        <w:jc w:val="both"/>
        <w:rPr>
          <w:rFonts w:ascii="Times New Roman" w:hAnsi="Times New Roman" w:cs="Times New Roman"/>
        </w:rPr>
      </w:pPr>
      <w:r w:rsidRPr="0037607F">
        <w:rPr>
          <w:rFonts w:ascii="Times New Roman" w:hAnsi="Times New Roman" w:cs="Times New Roman"/>
        </w:rPr>
        <w:t xml:space="preserve"> </w:t>
      </w:r>
    </w:p>
    <w:p w14:paraId="43C58D5D" w14:textId="192A6C3B" w:rsidR="00FC59BF" w:rsidRPr="0037607F" w:rsidRDefault="005C3273" w:rsidP="008413E5">
      <w:pPr>
        <w:ind w:left="1440"/>
        <w:jc w:val="both"/>
        <w:rPr>
          <w:rFonts w:ascii="Times New Roman" w:hAnsi="Times New Roman" w:cs="Times New Roman"/>
        </w:rPr>
      </w:pPr>
      <w:r w:rsidRPr="0037607F">
        <w:rPr>
          <w:rFonts w:ascii="Times New Roman" w:hAnsi="Times New Roman" w:cs="Times New Roman"/>
          <w:b/>
        </w:rPr>
        <w:t xml:space="preserve"> </w:t>
      </w:r>
      <w:r w:rsidR="00FC59BF" w:rsidRPr="0037607F">
        <w:rPr>
          <w:rFonts w:ascii="Times New Roman" w:hAnsi="Times New Roman" w:cs="Times New Roman"/>
        </w:rPr>
        <w:t xml:space="preserve"> </w:t>
      </w:r>
    </w:p>
    <w:p w14:paraId="124F4312" w14:textId="0BDB8892" w:rsidR="004B02BE" w:rsidRPr="0037607F" w:rsidRDefault="008413E5" w:rsidP="004B02BE">
      <w:pPr>
        <w:jc w:val="both"/>
        <w:rPr>
          <w:rFonts w:ascii="Times New Roman" w:hAnsi="Times New Roman" w:cs="Times New Roman"/>
          <w:b/>
        </w:rPr>
      </w:pPr>
      <w:r w:rsidRPr="0037607F">
        <w:rPr>
          <w:rFonts w:ascii="Times New Roman" w:hAnsi="Times New Roman" w:cs="Times New Roman"/>
          <w:b/>
        </w:rPr>
        <w:t xml:space="preserve"> </w:t>
      </w:r>
    </w:p>
    <w:p w14:paraId="05CCBB25" w14:textId="77777777" w:rsidR="004B02BE" w:rsidRPr="0037607F" w:rsidRDefault="004B02BE" w:rsidP="004B02BE">
      <w:pPr>
        <w:jc w:val="both"/>
        <w:rPr>
          <w:rFonts w:ascii="Times New Roman" w:hAnsi="Times New Roman" w:cs="Times New Roman"/>
          <w:b/>
        </w:rPr>
      </w:pPr>
    </w:p>
    <w:p w14:paraId="1A34375C" w14:textId="77777777" w:rsidR="008839B5" w:rsidRPr="0037607F" w:rsidRDefault="008839B5" w:rsidP="008839B5">
      <w:pPr>
        <w:suppressAutoHyphens w:val="0"/>
        <w:autoSpaceDE w:val="0"/>
        <w:autoSpaceDN w:val="0"/>
        <w:adjustRightInd w:val="0"/>
        <w:jc w:val="center"/>
        <w:rPr>
          <w:rFonts w:ascii="Times New Roman" w:hAnsi="Times New Roman" w:cs="Times New Roman"/>
          <w:b/>
          <w:bCs/>
          <w:color w:val="auto"/>
          <w:lang w:eastAsia="it-IT"/>
        </w:rPr>
      </w:pPr>
    </w:p>
    <w:p w14:paraId="1C0F328D" w14:textId="57DFA5B5" w:rsidR="00327BAC" w:rsidRPr="0037607F" w:rsidRDefault="00510CFF" w:rsidP="00EC3800">
      <w:pPr>
        <w:jc w:val="both"/>
        <w:rPr>
          <w:rFonts w:ascii="Times New Roman" w:hAnsi="Times New Roman" w:cs="Times New Roman"/>
          <w:i/>
        </w:rPr>
      </w:pPr>
      <w:r w:rsidRPr="0037607F">
        <w:rPr>
          <w:rFonts w:ascii="Times New Roman" w:hAnsi="Times New Roman" w:cs="Times New Roman"/>
        </w:rPr>
        <w:t xml:space="preserve"> </w:t>
      </w:r>
    </w:p>
    <w:sectPr w:rsidR="00327BAC" w:rsidRPr="0037607F" w:rsidSect="003D55A3">
      <w:headerReference w:type="default" r:id="rId8"/>
      <w:footerReference w:type="default" r:id="rId9"/>
      <w:headerReference w:type="first" r:id="rId10"/>
      <w:footerReference w:type="first" r:id="rId11"/>
      <w:pgSz w:w="11906" w:h="16838"/>
      <w:pgMar w:top="3238" w:right="1134" w:bottom="1418" w:left="1134" w:header="1077" w:footer="4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4B415" w14:textId="77777777" w:rsidR="00D45758" w:rsidRDefault="00D45758">
      <w:r>
        <w:separator/>
      </w:r>
    </w:p>
  </w:endnote>
  <w:endnote w:type="continuationSeparator" w:id="0">
    <w:p w14:paraId="3F4364CD" w14:textId="77777777" w:rsidR="00D45758" w:rsidRDefault="00D4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lef">
    <w:altName w:val="Times New Roman"/>
    <w:charset w:val="01"/>
    <w:family w:val="auto"/>
    <w:pitch w:val="variable"/>
    <w:sig w:usb0="00000807" w:usb1="40000000" w:usb2="00000000" w:usb3="00000000" w:csb0="000000B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0BC14" w14:textId="5D3CFD33" w:rsidR="003D55A3" w:rsidRDefault="003D55A3">
    <w:pPr>
      <w:pStyle w:val="Pidipagina"/>
      <w:jc w:val="right"/>
    </w:pPr>
    <w:r>
      <w:rPr>
        <w:lang w:val="it-IT"/>
      </w:rPr>
      <w:t xml:space="preserve">Pagina </w:t>
    </w:r>
    <w:r>
      <w:fldChar w:fldCharType="begin"/>
    </w:r>
    <w:r>
      <w:instrText xml:space="preserve"> PAGE   \* MERGEFORMAT </w:instrText>
    </w:r>
    <w:r>
      <w:fldChar w:fldCharType="separate"/>
    </w:r>
    <w:r w:rsidR="00CD4111">
      <w:rPr>
        <w:noProof/>
      </w:rPr>
      <w:t>1</w:t>
    </w:r>
    <w:r>
      <w:fldChar w:fldCharType="end"/>
    </w:r>
  </w:p>
  <w:p w14:paraId="3B3C3D15" w14:textId="77777777" w:rsidR="003D55A3" w:rsidRDefault="003D55A3" w:rsidP="003D55A3">
    <w:pPr>
      <w:pStyle w:val="Pidipagina1"/>
      <w:pBdr>
        <w:top w:val="thinThickSmallGap" w:sz="24" w:space="1" w:color="622423"/>
      </w:pBdr>
    </w:pPr>
  </w:p>
  <w:p w14:paraId="11002519" w14:textId="77777777" w:rsidR="003D55A3" w:rsidRPr="00AF5E77" w:rsidRDefault="003D55A3" w:rsidP="003D55A3">
    <w:pPr>
      <w:snapToGrid w:val="0"/>
      <w:ind w:left="-1134" w:right="-851"/>
      <w:jc w:val="center"/>
      <w:rPr>
        <w:b/>
        <w:bCs/>
        <w:sz w:val="16"/>
        <w:szCs w:val="16"/>
      </w:rPr>
    </w:pPr>
    <w:r w:rsidRPr="00AF5E77">
      <w:rPr>
        <w:b/>
        <w:bCs/>
        <w:sz w:val="16"/>
        <w:szCs w:val="16"/>
      </w:rPr>
      <w:t xml:space="preserve">Consorzio Farmaceutico Intercomunale </w:t>
    </w:r>
  </w:p>
  <w:p w14:paraId="4D9BFB16" w14:textId="77777777" w:rsidR="003D55A3" w:rsidRPr="00AF5E77" w:rsidRDefault="003D55A3" w:rsidP="003D55A3">
    <w:pPr>
      <w:snapToGrid w:val="0"/>
      <w:ind w:left="-1134" w:right="-851"/>
      <w:jc w:val="center"/>
      <w:rPr>
        <w:b/>
        <w:bCs/>
        <w:sz w:val="16"/>
        <w:szCs w:val="16"/>
      </w:rPr>
    </w:pPr>
    <w:r w:rsidRPr="00AF5E77">
      <w:rPr>
        <w:b/>
        <w:bCs/>
        <w:sz w:val="16"/>
        <w:szCs w:val="16"/>
      </w:rPr>
      <w:t xml:space="preserve">Via S.Visco, 24/c - 84131 Salerno P. I.V.A. 03406400659 Reg. Impr. 22164/98 Tel. 0893076111 Fax 0893076120 </w:t>
    </w:r>
  </w:p>
  <w:p w14:paraId="73FC4E03" w14:textId="77777777" w:rsidR="003D55A3" w:rsidRPr="00AF5E77" w:rsidRDefault="003D55A3" w:rsidP="003D55A3">
    <w:pPr>
      <w:snapToGrid w:val="0"/>
      <w:ind w:left="-1134" w:right="-851"/>
      <w:jc w:val="center"/>
      <w:rPr>
        <w:b/>
        <w:bCs/>
        <w:sz w:val="16"/>
        <w:szCs w:val="16"/>
      </w:rPr>
    </w:pPr>
    <w:r w:rsidRPr="00AF5E77">
      <w:rPr>
        <w:b/>
        <w:bCs/>
        <w:sz w:val="16"/>
        <w:szCs w:val="16"/>
      </w:rPr>
      <w:t>e - mail: info@consofarm.it   PEC: salerno@assofarm.postecert.it   sito web: www.consofarm.it</w:t>
    </w:r>
  </w:p>
  <w:p w14:paraId="3149ACD2" w14:textId="77777777" w:rsidR="004D2732" w:rsidRDefault="004D273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FEE76" w14:textId="77777777" w:rsidR="004D2732" w:rsidRDefault="004D2732">
    <w:pPr>
      <w:pStyle w:val="Pidipagina"/>
      <w:pBdr>
        <w:top w:val="thinThickSmallGap" w:sz="24" w:space="1" w:color="823B0B"/>
      </w:pBdr>
      <w:jc w:val="right"/>
      <w:rPr>
        <w:rFonts w:ascii="Times New Roman" w:hAnsi="Times New Roman"/>
        <w:sz w:val="22"/>
        <w:szCs w:val="22"/>
      </w:rPr>
    </w:pPr>
    <w:r>
      <w:rPr>
        <w:rFonts w:ascii="Times New Roman" w:hAnsi="Times New Roman"/>
        <w:sz w:val="22"/>
        <w:szCs w:val="22"/>
      </w:rPr>
      <w:t xml:space="preserve">Pagina </w:t>
    </w:r>
    <w:r>
      <w:rPr>
        <w:rFonts w:ascii="Times New Roman" w:hAnsi="Times New Roman"/>
        <w:sz w:val="22"/>
        <w:szCs w:val="22"/>
      </w:rPr>
      <w:fldChar w:fldCharType="begin"/>
    </w:r>
    <w:r>
      <w:rPr>
        <w:rFonts w:ascii="Times New Roman" w:hAnsi="Times New Roman"/>
        <w:sz w:val="22"/>
        <w:szCs w:val="22"/>
      </w:rPr>
      <w:instrText xml:space="preserve"> PAGE   \* MERGEFORMAT </w:instrText>
    </w:r>
    <w:r>
      <w:rPr>
        <w:rFonts w:ascii="Times New Roman" w:hAnsi="Times New Roman"/>
        <w:sz w:val="22"/>
        <w:szCs w:val="22"/>
      </w:rPr>
      <w:fldChar w:fldCharType="separate"/>
    </w:r>
    <w:r w:rsidR="00614B9D">
      <w:rPr>
        <w:rFonts w:ascii="Times New Roman" w:hAnsi="Times New Roman"/>
        <w:noProof/>
        <w:sz w:val="22"/>
        <w:szCs w:val="22"/>
      </w:rPr>
      <w:t>1</w:t>
    </w:r>
    <w:r>
      <w:rPr>
        <w:rFonts w:ascii="Times New Roman" w:hAnsi="Times New Roman"/>
        <w:noProof/>
        <w:sz w:val="22"/>
        <w:szCs w:val="22"/>
      </w:rPr>
      <w:fldChar w:fldCharType="end"/>
    </w:r>
  </w:p>
  <w:p w14:paraId="503C2106" w14:textId="77777777" w:rsidR="004D2732" w:rsidRDefault="004D2732">
    <w:pPr>
      <w:snapToGrid w:val="0"/>
      <w:ind w:left="-1134" w:right="-851"/>
      <w:jc w:val="center"/>
      <w:rPr>
        <w:rFonts w:ascii="Times New Roman" w:hAnsi="Times New Roman" w:cs="Times New Roman"/>
        <w:bCs/>
        <w:sz w:val="16"/>
        <w:szCs w:val="16"/>
      </w:rPr>
    </w:pPr>
    <w:r>
      <w:rPr>
        <w:rFonts w:ascii="Times New Roman" w:hAnsi="Times New Roman" w:cs="Times New Roman"/>
        <w:bCs/>
        <w:sz w:val="16"/>
        <w:szCs w:val="16"/>
      </w:rPr>
      <w:t>Consorzio Farmaceutico Intercomunale (C.F.I.)</w:t>
    </w:r>
  </w:p>
  <w:p w14:paraId="2DCBBC45" w14:textId="77777777" w:rsidR="004D2732" w:rsidRDefault="004D2732">
    <w:pPr>
      <w:snapToGrid w:val="0"/>
      <w:ind w:left="-1134" w:right="-851"/>
      <w:jc w:val="center"/>
      <w:rPr>
        <w:rFonts w:ascii="Times New Roman" w:hAnsi="Times New Roman" w:cs="Times New Roman"/>
        <w:bCs/>
        <w:sz w:val="16"/>
        <w:szCs w:val="16"/>
      </w:rPr>
    </w:pPr>
    <w:r>
      <w:rPr>
        <w:rFonts w:ascii="Times New Roman" w:hAnsi="Times New Roman" w:cs="Times New Roman"/>
        <w:bCs/>
        <w:sz w:val="16"/>
        <w:szCs w:val="16"/>
      </w:rPr>
      <w:t xml:space="preserve">Sede legale: Via S. Visco n.24/c - 84131 Salerno  </w:t>
    </w:r>
  </w:p>
  <w:p w14:paraId="7C027BC7" w14:textId="77777777" w:rsidR="004D2732" w:rsidRDefault="004D2732">
    <w:pPr>
      <w:snapToGrid w:val="0"/>
      <w:ind w:left="-1134" w:right="-851"/>
      <w:jc w:val="center"/>
      <w:rPr>
        <w:rFonts w:ascii="Times New Roman" w:hAnsi="Times New Roman" w:cs="Times New Roman"/>
        <w:bCs/>
        <w:sz w:val="16"/>
        <w:szCs w:val="16"/>
      </w:rPr>
    </w:pPr>
    <w:r>
      <w:rPr>
        <w:rFonts w:ascii="Times New Roman" w:hAnsi="Times New Roman" w:cs="Times New Roman"/>
        <w:bCs/>
        <w:sz w:val="16"/>
        <w:szCs w:val="16"/>
      </w:rPr>
      <w:t xml:space="preserve">P. I.V.A. 03406400659 – Iscr. Reg. Impr. 22164/98 - Tel. 0893076111 Fax 0893076120 </w:t>
    </w:r>
  </w:p>
  <w:p w14:paraId="065383E6" w14:textId="77777777" w:rsidR="004D2732" w:rsidRDefault="004D2732">
    <w:pPr>
      <w:pStyle w:val="Pidipagina"/>
      <w:ind w:left="-1134" w:right="-851"/>
      <w:jc w:val="center"/>
      <w:rPr>
        <w:rFonts w:ascii="Times New Roman" w:hAnsi="Times New Roman"/>
        <w:sz w:val="18"/>
      </w:rPr>
    </w:pPr>
    <w:r>
      <w:rPr>
        <w:rFonts w:ascii="Times New Roman" w:hAnsi="Times New Roman"/>
        <w:bCs/>
        <w:sz w:val="16"/>
        <w:szCs w:val="16"/>
      </w:rPr>
      <w:t>e - mail: info@consofarm.it  - PEC: salerno@assofarm.postecert.it  - sito web: www.consofarm.it</w:t>
    </w:r>
  </w:p>
  <w:p w14:paraId="4CF7B2BF" w14:textId="77777777" w:rsidR="004D2732" w:rsidRDefault="004D2732">
    <w:pPr>
      <w:shd w:val="clear" w:color="auto" w:fill="FFFFF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2E3C8" w14:textId="77777777" w:rsidR="00D45758" w:rsidRDefault="00D45758">
      <w:r>
        <w:separator/>
      </w:r>
    </w:p>
  </w:footnote>
  <w:footnote w:type="continuationSeparator" w:id="0">
    <w:p w14:paraId="02A0A862" w14:textId="77777777" w:rsidR="00D45758" w:rsidRDefault="00D45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54336" w14:textId="77777777" w:rsidR="00614B9D" w:rsidRDefault="009B764A" w:rsidP="00614B9D">
    <w:pPr>
      <w:pStyle w:val="Intestazione"/>
      <w:rPr>
        <w:rFonts w:ascii="Century Schoolbook" w:hAnsi="Century Schoolbook" w:cs="Century Schoolbook"/>
        <w:i/>
        <w:color w:val="385623"/>
        <w:sz w:val="22"/>
        <w:szCs w:val="22"/>
        <w:lang w:eastAsia="it-IT"/>
      </w:rPr>
    </w:pPr>
    <w:r>
      <w:rPr>
        <w:noProof/>
        <w:lang w:eastAsia="it-IT"/>
      </w:rPr>
      <w:drawing>
        <wp:anchor distT="0" distB="0" distL="114300" distR="114300" simplePos="0" relativeHeight="251660800" behindDoc="1" locked="0" layoutInCell="1" allowOverlap="1" wp14:anchorId="492B257F" wp14:editId="174A5B85">
          <wp:simplePos x="0" y="0"/>
          <wp:positionH relativeFrom="column">
            <wp:posOffset>4142105</wp:posOffset>
          </wp:positionH>
          <wp:positionV relativeFrom="paragraph">
            <wp:posOffset>-45720</wp:posOffset>
          </wp:positionV>
          <wp:extent cx="2345690" cy="1083310"/>
          <wp:effectExtent l="0" t="0" r="0" b="0"/>
          <wp:wrapNone/>
          <wp:docPr id="18" name="Immagin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690"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33985" distR="114935" simplePos="0" relativeHeight="251658752" behindDoc="0" locked="0" layoutInCell="1" allowOverlap="1" wp14:anchorId="1AA5C3C0" wp14:editId="64536CB2">
          <wp:simplePos x="0" y="0"/>
          <wp:positionH relativeFrom="column">
            <wp:posOffset>-232410</wp:posOffset>
          </wp:positionH>
          <wp:positionV relativeFrom="paragraph">
            <wp:posOffset>-273685</wp:posOffset>
          </wp:positionV>
          <wp:extent cx="1262380" cy="1663700"/>
          <wp:effectExtent l="0" t="0" r="0" b="0"/>
          <wp:wrapNone/>
          <wp:docPr id="15" name="Immagin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2380" cy="16637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0D031E7" w14:textId="77777777" w:rsidR="00614B9D" w:rsidRDefault="00614B9D" w:rsidP="00614B9D">
    <w:pPr>
      <w:pStyle w:val="Intestazione"/>
      <w:rPr>
        <w:rFonts w:ascii="Century Schoolbook" w:hAnsi="Century Schoolbook" w:cs="Century Schoolbook"/>
        <w:i/>
        <w:color w:val="385623"/>
        <w:sz w:val="22"/>
        <w:szCs w:val="22"/>
      </w:rPr>
    </w:pPr>
  </w:p>
  <w:p w14:paraId="5E17491A" w14:textId="77777777" w:rsidR="00614B9D" w:rsidRDefault="00614B9D" w:rsidP="00614B9D">
    <w:pPr>
      <w:pStyle w:val="Intestazione"/>
      <w:rPr>
        <w:rFonts w:ascii="Century Schoolbook" w:hAnsi="Century Schoolbook" w:cs="Century Schoolbook"/>
        <w:i/>
        <w:color w:val="385623"/>
        <w:sz w:val="22"/>
        <w:szCs w:val="22"/>
      </w:rPr>
    </w:pPr>
  </w:p>
  <w:p w14:paraId="3E5C50A6" w14:textId="77777777" w:rsidR="00614B9D" w:rsidRDefault="00614B9D" w:rsidP="00614B9D">
    <w:pPr>
      <w:pStyle w:val="Intestazione"/>
      <w:rPr>
        <w:rFonts w:ascii="Century Schoolbook" w:hAnsi="Century Schoolbook" w:cs="Century Schoolbook"/>
        <w:i/>
        <w:color w:val="385623"/>
        <w:sz w:val="22"/>
        <w:szCs w:val="22"/>
      </w:rPr>
    </w:pPr>
  </w:p>
  <w:p w14:paraId="768EC0D9" w14:textId="77777777" w:rsidR="00614B9D" w:rsidRDefault="009B764A" w:rsidP="00614B9D">
    <w:pPr>
      <w:pStyle w:val="Intestazione"/>
      <w:rPr>
        <w:rFonts w:ascii="Century Schoolbook" w:hAnsi="Century Schoolbook" w:cs="Century Schoolbook"/>
        <w:i/>
        <w:color w:val="385623"/>
        <w:sz w:val="22"/>
        <w:szCs w:val="22"/>
      </w:rPr>
    </w:pPr>
    <w:r>
      <w:rPr>
        <w:rFonts w:ascii="Century Schoolbook" w:hAnsi="Century Schoolbook" w:cs="Century Schoolbook"/>
        <w:i/>
        <w:noProof/>
        <w:color w:val="385623"/>
        <w:sz w:val="22"/>
        <w:szCs w:val="22"/>
        <w:lang w:eastAsia="it-IT"/>
      </w:rPr>
      <mc:AlternateContent>
        <mc:Choice Requires="wps">
          <w:drawing>
            <wp:anchor distT="45720" distB="45720" distL="114300" distR="114300" simplePos="0" relativeHeight="251659776" behindDoc="0" locked="0" layoutInCell="1" allowOverlap="1" wp14:anchorId="6F7DE199" wp14:editId="4B448ADD">
              <wp:simplePos x="0" y="0"/>
              <wp:positionH relativeFrom="column">
                <wp:posOffset>1868805</wp:posOffset>
              </wp:positionH>
              <wp:positionV relativeFrom="paragraph">
                <wp:posOffset>34290</wp:posOffset>
              </wp:positionV>
              <wp:extent cx="1830070" cy="272415"/>
              <wp:effectExtent l="0" t="0" r="0" b="0"/>
              <wp:wrapSquare wrapText="bothSides"/>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007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4A74FC" w14:textId="77777777" w:rsidR="00614B9D" w:rsidRPr="00F55E24" w:rsidRDefault="00614B9D" w:rsidP="00F55E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7DE199" id="_x0000_t202" coordsize="21600,21600" o:spt="202" path="m,l,21600r21600,l21600,xe">
              <v:stroke joinstyle="miter"/>
              <v:path gradientshapeok="t" o:connecttype="rect"/>
            </v:shapetype>
            <v:shape id="Casella di testo 2" o:spid="_x0000_s1026" type="#_x0000_t202" style="position:absolute;margin-left:147.15pt;margin-top:2.7pt;width:144.1pt;height:21.4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" stroked="f">
              <v:path arrowok="t"/>
              <v:textbox>
                <w:txbxContent>
                  <w:p w14:paraId="0E4A74FC" w14:textId="77777777" w:rsidR="00614B9D" w:rsidRPr="00F55E24" w:rsidRDefault="00614B9D" w:rsidP="00F55E24"/>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A92D" w14:textId="77777777" w:rsidR="004D2732" w:rsidRDefault="009B764A">
    <w:pPr>
      <w:pStyle w:val="Intestazione"/>
      <w:rPr>
        <w:rFonts w:ascii="Century Schoolbook" w:hAnsi="Century Schoolbook" w:cs="Century Schoolbook"/>
        <w:i/>
        <w:color w:val="385623"/>
        <w:sz w:val="22"/>
        <w:szCs w:val="22"/>
        <w:lang w:eastAsia="it-IT"/>
      </w:rPr>
    </w:pPr>
    <w:r>
      <w:rPr>
        <w:rFonts w:ascii="Century Schoolbook" w:hAnsi="Century Schoolbook" w:cs="Century Schoolbook"/>
        <w:i/>
        <w:noProof/>
        <w:color w:val="385623"/>
        <w:sz w:val="22"/>
        <w:szCs w:val="22"/>
        <w:lang w:eastAsia="it-IT"/>
      </w:rPr>
      <w:drawing>
        <wp:anchor distT="0" distB="0" distL="114935" distR="114935" simplePos="0" relativeHeight="251655680" behindDoc="0" locked="0" layoutInCell="1" allowOverlap="1" wp14:anchorId="14E58D0B" wp14:editId="456088E2">
          <wp:simplePos x="0" y="0"/>
          <wp:positionH relativeFrom="column">
            <wp:posOffset>2146935</wp:posOffset>
          </wp:positionH>
          <wp:positionV relativeFrom="paragraph">
            <wp:posOffset>-45720</wp:posOffset>
          </wp:positionV>
          <wp:extent cx="1597660" cy="709295"/>
          <wp:effectExtent l="0" t="0" r="0" b="0"/>
          <wp:wrapSquare wrapText="bothSides"/>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
                    <a:extLst>
                      <a:ext uri="{28A0092B-C50C-407E-A947-70E740481C1C}">
                        <a14:useLocalDpi xmlns:a14="http://schemas.microsoft.com/office/drawing/2010/main" val="0"/>
                      </a:ext>
                    </a:extLst>
                  </a:blip>
                  <a:srcRect l="-189" t="-426" r="-189" b="-426"/>
                  <a:stretch>
                    <a:fillRect/>
                  </a:stretch>
                </pic:blipFill>
                <pic:spPr bwMode="auto">
                  <a:xfrm>
                    <a:off x="0" y="0"/>
                    <a:ext cx="1597660" cy="70929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7728" behindDoc="1" locked="0" layoutInCell="1" allowOverlap="1" wp14:anchorId="23700E2F" wp14:editId="1CDCF0E0">
          <wp:simplePos x="0" y="0"/>
          <wp:positionH relativeFrom="column">
            <wp:posOffset>4142105</wp:posOffset>
          </wp:positionH>
          <wp:positionV relativeFrom="paragraph">
            <wp:posOffset>-45720</wp:posOffset>
          </wp:positionV>
          <wp:extent cx="2345690" cy="1083310"/>
          <wp:effectExtent l="0" t="0" r="0" b="0"/>
          <wp:wrapNone/>
          <wp:docPr id="10" name="Immagin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5690"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33985" distR="114935" simplePos="0" relativeHeight="251654656" behindDoc="0" locked="0" layoutInCell="1" allowOverlap="1" wp14:anchorId="63118602" wp14:editId="324EE341">
          <wp:simplePos x="0" y="0"/>
          <wp:positionH relativeFrom="column">
            <wp:posOffset>-232410</wp:posOffset>
          </wp:positionH>
          <wp:positionV relativeFrom="paragraph">
            <wp:posOffset>-273685</wp:posOffset>
          </wp:positionV>
          <wp:extent cx="1262380" cy="1663700"/>
          <wp:effectExtent l="0" t="0" r="0" b="0"/>
          <wp:wrapNone/>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2380" cy="16637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67B11F0D" w14:textId="77777777" w:rsidR="004D2732" w:rsidRDefault="004D2732">
    <w:pPr>
      <w:pStyle w:val="Intestazione"/>
      <w:rPr>
        <w:rFonts w:ascii="Century Schoolbook" w:hAnsi="Century Schoolbook" w:cs="Century Schoolbook"/>
        <w:i/>
        <w:color w:val="385623"/>
        <w:sz w:val="22"/>
        <w:szCs w:val="22"/>
      </w:rPr>
    </w:pPr>
  </w:p>
  <w:p w14:paraId="110131BB" w14:textId="77777777" w:rsidR="004D2732" w:rsidRDefault="004D2732">
    <w:pPr>
      <w:pStyle w:val="Intestazione"/>
      <w:rPr>
        <w:rFonts w:ascii="Century Schoolbook" w:hAnsi="Century Schoolbook" w:cs="Century Schoolbook"/>
        <w:i/>
        <w:color w:val="385623"/>
        <w:sz w:val="22"/>
        <w:szCs w:val="22"/>
      </w:rPr>
    </w:pPr>
  </w:p>
  <w:p w14:paraId="75DD9E02" w14:textId="77777777" w:rsidR="004D2732" w:rsidRDefault="004D2732">
    <w:pPr>
      <w:pStyle w:val="Intestazione"/>
      <w:rPr>
        <w:rFonts w:ascii="Century Schoolbook" w:hAnsi="Century Schoolbook" w:cs="Century Schoolbook"/>
        <w:i/>
        <w:color w:val="385623"/>
        <w:sz w:val="22"/>
        <w:szCs w:val="22"/>
      </w:rPr>
    </w:pPr>
  </w:p>
  <w:p w14:paraId="5203B314" w14:textId="77777777" w:rsidR="004D2732" w:rsidRDefault="009B764A">
    <w:pPr>
      <w:pStyle w:val="Intestazione"/>
      <w:rPr>
        <w:rFonts w:ascii="Century Schoolbook" w:hAnsi="Century Schoolbook" w:cs="Century Schoolbook"/>
        <w:i/>
        <w:color w:val="385623"/>
        <w:sz w:val="22"/>
        <w:szCs w:val="22"/>
      </w:rPr>
    </w:pPr>
    <w:r>
      <w:rPr>
        <w:rFonts w:ascii="Century Schoolbook" w:hAnsi="Century Schoolbook" w:cs="Century Schoolbook"/>
        <w:i/>
        <w:noProof/>
        <w:color w:val="385623"/>
        <w:sz w:val="22"/>
        <w:szCs w:val="22"/>
        <w:lang w:eastAsia="it-IT"/>
      </w:rPr>
      <mc:AlternateContent>
        <mc:Choice Requires="wps">
          <w:drawing>
            <wp:anchor distT="45720" distB="45720" distL="114300" distR="114300" simplePos="0" relativeHeight="251656704" behindDoc="0" locked="0" layoutInCell="1" allowOverlap="1" wp14:anchorId="1770F701" wp14:editId="63C0924A">
              <wp:simplePos x="0" y="0"/>
              <wp:positionH relativeFrom="column">
                <wp:posOffset>1868805</wp:posOffset>
              </wp:positionH>
              <wp:positionV relativeFrom="paragraph">
                <wp:posOffset>34290</wp:posOffset>
              </wp:positionV>
              <wp:extent cx="1830070" cy="272415"/>
              <wp:effectExtent l="0" t="0" r="0" b="0"/>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007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CA0AFE" w14:textId="77777777" w:rsidR="004D2732" w:rsidRDefault="004D2732">
                          <w:r>
                            <w:rPr>
                              <w:rFonts w:ascii="Alef" w:hAnsi="Alef" w:cs="Alef"/>
                              <w:color w:val="003D73"/>
                              <w:sz w:val="16"/>
                              <w:szCs w:val="16"/>
                              <w:lang w:val="fr-FR"/>
                            </w:rPr>
                            <w:t>European Network Social Authorities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70F701" id="_x0000_t202" coordsize="21600,21600" o:spt="202" path="m,l,21600r21600,l21600,xe">
              <v:stroke joinstyle="miter"/>
              <v:path gradientshapeok="t" o:connecttype="rect"/>
            </v:shapetype>
            <v:shape id="_x0000_s1027" type="#_x0000_t202" style="position:absolute;margin-left:147.15pt;margin-top:2.7pt;width:144.1pt;height:21.4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" stroked="f">
              <v:path arrowok="t"/>
              <v:textbox>
                <w:txbxContent>
                  <w:p w14:paraId="35CA0AFE" w14:textId="77777777" w:rsidR="004D2732" w:rsidRDefault="004D2732">
                    <w:proofErr w:type="spellStart"/>
                    <w:r>
                      <w:rPr>
                        <w:rFonts w:ascii="Alef" w:hAnsi="Alef" w:cs="Alef"/>
                        <w:color w:val="003D73"/>
                        <w:sz w:val="16"/>
                        <w:szCs w:val="16"/>
                        <w:lang w:val="fr-FR"/>
                      </w:rPr>
                      <w:t>European</w:t>
                    </w:r>
                    <w:proofErr w:type="spellEnd"/>
                    <w:r>
                      <w:rPr>
                        <w:rFonts w:ascii="Alef" w:hAnsi="Alef" w:cs="Alef"/>
                        <w:color w:val="003D73"/>
                        <w:sz w:val="16"/>
                        <w:szCs w:val="16"/>
                        <w:lang w:val="fr-FR"/>
                      </w:rPr>
                      <w:t xml:space="preserve"> Network Social </w:t>
                    </w:r>
                    <w:proofErr w:type="spellStart"/>
                    <w:r>
                      <w:rPr>
                        <w:rFonts w:ascii="Alef" w:hAnsi="Alef" w:cs="Alef"/>
                        <w:color w:val="003D73"/>
                        <w:sz w:val="16"/>
                        <w:szCs w:val="16"/>
                        <w:lang w:val="fr-FR"/>
                      </w:rPr>
                      <w:t>Authorities</w:t>
                    </w:r>
                    <w:proofErr w:type="spellEnd"/>
                  </w:p>
                </w:txbxContent>
              </v:textbox>
              <w10:wrap type="square"/>
            </v:shape>
          </w:pict>
        </mc:Fallback>
      </mc:AlternateContent>
    </w:r>
  </w:p>
  <w:p w14:paraId="72F9E5F2" w14:textId="77777777" w:rsidR="004D2732" w:rsidRDefault="004D2732">
    <w:pPr>
      <w:pStyle w:val="Intestazione"/>
      <w:rPr>
        <w:rFonts w:ascii="Century Schoolbook" w:hAnsi="Century Schoolbook" w:cs="Century Schoolbook"/>
        <w:i/>
        <w:color w:val="385623"/>
        <w:sz w:val="22"/>
        <w:szCs w:val="22"/>
      </w:rPr>
    </w:pPr>
  </w:p>
  <w:p w14:paraId="77F77364" w14:textId="77777777" w:rsidR="004D2732" w:rsidRDefault="004D2732">
    <w:pPr>
      <w:pStyle w:val="Intestazione"/>
      <w:rPr>
        <w:rFonts w:ascii="Century Schoolbook" w:hAnsi="Century Schoolbook" w:cs="Century Schoolbook"/>
        <w:i/>
        <w:color w:val="385623"/>
        <w:sz w:val="22"/>
        <w:szCs w:val="22"/>
      </w:rPr>
    </w:pPr>
  </w:p>
  <w:p w14:paraId="6B12B48B" w14:textId="77777777" w:rsidR="004D2732" w:rsidRDefault="004D2732">
    <w:pPr>
      <w:pStyle w:val="Intestazione"/>
    </w:pPr>
    <w:r>
      <w:rPr>
        <w:rFonts w:ascii="Century Schoolbook" w:eastAsia="Century Schoolbook" w:hAnsi="Century Schoolbook" w:cs="Century Schoolbook"/>
        <w:i/>
        <w:color w:val="385623"/>
        <w:sz w:val="22"/>
        <w:szCs w:val="22"/>
      </w:rPr>
      <w:t xml:space="preserve">     </w:t>
    </w:r>
  </w:p>
  <w:p w14:paraId="47A52405" w14:textId="77777777" w:rsidR="004D2732" w:rsidRDefault="004D2732">
    <w:pPr>
      <w:pStyle w:val="Intestazione"/>
      <w:ind w:left="294"/>
    </w:pPr>
    <w:r>
      <w:rPr>
        <w:rFonts w:ascii="Century Schoolbook" w:hAnsi="Century Schoolbook" w:cs="Century Schoolbook"/>
        <w:i/>
        <w:sz w:val="22"/>
        <w:szCs w:val="22"/>
      </w:rPr>
      <w:t xml:space="preserve">                </w:t>
    </w:r>
    <w:r>
      <w:rPr>
        <w:rFonts w:ascii="Century Schoolbook" w:hAnsi="Century Schoolbook" w:cs="Century Schoolbook"/>
        <w:i/>
        <w:sz w:val="22"/>
        <w:szCs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CF3555"/>
    <w:multiLevelType w:val="hybridMultilevel"/>
    <w:tmpl w:val="900CB5FA"/>
    <w:lvl w:ilvl="0" w:tplc="5D7A6A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12374E"/>
    <w:multiLevelType w:val="hybridMultilevel"/>
    <w:tmpl w:val="17D83368"/>
    <w:lvl w:ilvl="0" w:tplc="B622A5E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837B2C"/>
    <w:multiLevelType w:val="hybridMultilevel"/>
    <w:tmpl w:val="2A36CD86"/>
    <w:lvl w:ilvl="0" w:tplc="16C28A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073929"/>
    <w:multiLevelType w:val="hybridMultilevel"/>
    <w:tmpl w:val="EF927B5E"/>
    <w:lvl w:ilvl="0" w:tplc="5ACE255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93121D"/>
    <w:multiLevelType w:val="hybridMultilevel"/>
    <w:tmpl w:val="1BB40F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E238AE"/>
    <w:multiLevelType w:val="hybridMultilevel"/>
    <w:tmpl w:val="498E370C"/>
    <w:lvl w:ilvl="0" w:tplc="03483B7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2D00CE"/>
    <w:multiLevelType w:val="hybridMultilevel"/>
    <w:tmpl w:val="275A0FD4"/>
    <w:lvl w:ilvl="0" w:tplc="5D7A6A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B5380C"/>
    <w:multiLevelType w:val="hybridMultilevel"/>
    <w:tmpl w:val="BA166C1E"/>
    <w:lvl w:ilvl="0" w:tplc="04100001">
      <w:start w:val="1"/>
      <w:numFmt w:val="bullet"/>
      <w:lvlText w:val=""/>
      <w:lvlJc w:val="left"/>
      <w:pPr>
        <w:ind w:left="1788" w:hanging="360"/>
      </w:pPr>
      <w:rPr>
        <w:rFonts w:ascii="Symbol" w:hAnsi="Symbol" w:hint="default"/>
      </w:rPr>
    </w:lvl>
    <w:lvl w:ilvl="1" w:tplc="04100003">
      <w:start w:val="1"/>
      <w:numFmt w:val="bullet"/>
      <w:lvlText w:val="o"/>
      <w:lvlJc w:val="left"/>
      <w:pPr>
        <w:ind w:left="2508" w:hanging="360"/>
      </w:pPr>
      <w:rPr>
        <w:rFonts w:ascii="Courier New" w:hAnsi="Courier New" w:cs="Courier New" w:hint="default"/>
      </w:rPr>
    </w:lvl>
    <w:lvl w:ilvl="2" w:tplc="04100005">
      <w:start w:val="1"/>
      <w:numFmt w:val="bullet"/>
      <w:lvlText w:val=""/>
      <w:lvlJc w:val="left"/>
      <w:pPr>
        <w:ind w:left="3228" w:hanging="360"/>
      </w:pPr>
      <w:rPr>
        <w:rFonts w:ascii="Wingdings" w:hAnsi="Wingdings" w:hint="default"/>
      </w:rPr>
    </w:lvl>
    <w:lvl w:ilvl="3" w:tplc="04100001">
      <w:start w:val="1"/>
      <w:numFmt w:val="bullet"/>
      <w:lvlText w:val=""/>
      <w:lvlJc w:val="left"/>
      <w:pPr>
        <w:ind w:left="3948" w:hanging="360"/>
      </w:pPr>
      <w:rPr>
        <w:rFonts w:ascii="Symbol" w:hAnsi="Symbol" w:hint="default"/>
      </w:rPr>
    </w:lvl>
    <w:lvl w:ilvl="4" w:tplc="04100003">
      <w:start w:val="1"/>
      <w:numFmt w:val="bullet"/>
      <w:lvlText w:val="o"/>
      <w:lvlJc w:val="left"/>
      <w:pPr>
        <w:ind w:left="4668" w:hanging="360"/>
      </w:pPr>
      <w:rPr>
        <w:rFonts w:ascii="Courier New" w:hAnsi="Courier New" w:cs="Courier New" w:hint="default"/>
      </w:rPr>
    </w:lvl>
    <w:lvl w:ilvl="5" w:tplc="04100005">
      <w:start w:val="1"/>
      <w:numFmt w:val="bullet"/>
      <w:lvlText w:val=""/>
      <w:lvlJc w:val="left"/>
      <w:pPr>
        <w:ind w:left="5388" w:hanging="360"/>
      </w:pPr>
      <w:rPr>
        <w:rFonts w:ascii="Wingdings" w:hAnsi="Wingdings" w:hint="default"/>
      </w:rPr>
    </w:lvl>
    <w:lvl w:ilvl="6" w:tplc="04100001">
      <w:start w:val="1"/>
      <w:numFmt w:val="bullet"/>
      <w:lvlText w:val=""/>
      <w:lvlJc w:val="left"/>
      <w:pPr>
        <w:ind w:left="6108" w:hanging="360"/>
      </w:pPr>
      <w:rPr>
        <w:rFonts w:ascii="Symbol" w:hAnsi="Symbol" w:hint="default"/>
      </w:rPr>
    </w:lvl>
    <w:lvl w:ilvl="7" w:tplc="04100003">
      <w:start w:val="1"/>
      <w:numFmt w:val="bullet"/>
      <w:lvlText w:val="o"/>
      <w:lvlJc w:val="left"/>
      <w:pPr>
        <w:ind w:left="6828" w:hanging="360"/>
      </w:pPr>
      <w:rPr>
        <w:rFonts w:ascii="Courier New" w:hAnsi="Courier New" w:cs="Courier New" w:hint="default"/>
      </w:rPr>
    </w:lvl>
    <w:lvl w:ilvl="8" w:tplc="04100005">
      <w:start w:val="1"/>
      <w:numFmt w:val="bullet"/>
      <w:lvlText w:val=""/>
      <w:lvlJc w:val="left"/>
      <w:pPr>
        <w:ind w:left="7548" w:hanging="360"/>
      </w:pPr>
      <w:rPr>
        <w:rFonts w:ascii="Wingdings" w:hAnsi="Wingdings" w:hint="default"/>
      </w:rPr>
    </w:lvl>
  </w:abstractNum>
  <w:abstractNum w:abstractNumId="9" w15:restartNumberingAfterBreak="0">
    <w:nsid w:val="1C71533D"/>
    <w:multiLevelType w:val="hybridMultilevel"/>
    <w:tmpl w:val="80886F06"/>
    <w:lvl w:ilvl="0" w:tplc="6A7ED8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5B37DE"/>
    <w:multiLevelType w:val="hybridMultilevel"/>
    <w:tmpl w:val="D9309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8C0D57"/>
    <w:multiLevelType w:val="hybridMultilevel"/>
    <w:tmpl w:val="02DABD1A"/>
    <w:lvl w:ilvl="0" w:tplc="427A949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B352BA"/>
    <w:multiLevelType w:val="hybridMultilevel"/>
    <w:tmpl w:val="D6CE1AF4"/>
    <w:lvl w:ilvl="0" w:tplc="B1A22668">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6DB544E"/>
    <w:multiLevelType w:val="hybridMultilevel"/>
    <w:tmpl w:val="FF4A4AFC"/>
    <w:lvl w:ilvl="0" w:tplc="16C28A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AEE3255"/>
    <w:multiLevelType w:val="hybridMultilevel"/>
    <w:tmpl w:val="3B220A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2272AD"/>
    <w:multiLevelType w:val="hybridMultilevel"/>
    <w:tmpl w:val="10249752"/>
    <w:lvl w:ilvl="0" w:tplc="2474D2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BF2463"/>
    <w:multiLevelType w:val="hybridMultilevel"/>
    <w:tmpl w:val="5946634A"/>
    <w:lvl w:ilvl="0" w:tplc="5D7A6A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830E15"/>
    <w:multiLevelType w:val="hybridMultilevel"/>
    <w:tmpl w:val="FE98CC4E"/>
    <w:lvl w:ilvl="0" w:tplc="5D7A6A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207B57"/>
    <w:multiLevelType w:val="hybridMultilevel"/>
    <w:tmpl w:val="F514C92E"/>
    <w:lvl w:ilvl="0" w:tplc="5D7A6AE8">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3DAB1B1A"/>
    <w:multiLevelType w:val="hybridMultilevel"/>
    <w:tmpl w:val="E112FAD6"/>
    <w:lvl w:ilvl="0" w:tplc="EC96B4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180CED"/>
    <w:multiLevelType w:val="hybridMultilevel"/>
    <w:tmpl w:val="09C644F0"/>
    <w:lvl w:ilvl="0" w:tplc="B1A22668">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92217C"/>
    <w:multiLevelType w:val="hybridMultilevel"/>
    <w:tmpl w:val="AE58D8DA"/>
    <w:lvl w:ilvl="0" w:tplc="5A504BEA">
      <w:numFmt w:val="bullet"/>
      <w:lvlText w:val="-"/>
      <w:lvlJc w:val="left"/>
      <w:pPr>
        <w:ind w:left="1068" w:hanging="360"/>
      </w:pPr>
      <w:rPr>
        <w:rFonts w:ascii="Calibri" w:eastAsia="Calibri" w:hAnsi="Calibri" w:cs="Calibri" w:hint="default"/>
        <w:color w:val="1F497D"/>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22" w15:restartNumberingAfterBreak="0">
    <w:nsid w:val="4D75520D"/>
    <w:multiLevelType w:val="hybridMultilevel"/>
    <w:tmpl w:val="ED625264"/>
    <w:lvl w:ilvl="0" w:tplc="5D7A6A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F320099"/>
    <w:multiLevelType w:val="hybridMultilevel"/>
    <w:tmpl w:val="4D46E8BA"/>
    <w:lvl w:ilvl="0" w:tplc="9E48975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591B1763"/>
    <w:multiLevelType w:val="hybridMultilevel"/>
    <w:tmpl w:val="3000CAF4"/>
    <w:lvl w:ilvl="0" w:tplc="8AA68176">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114166C"/>
    <w:multiLevelType w:val="hybridMultilevel"/>
    <w:tmpl w:val="AEA6BA44"/>
    <w:lvl w:ilvl="0" w:tplc="04100001">
      <w:start w:val="1"/>
      <w:numFmt w:val="bullet"/>
      <w:lvlText w:val=""/>
      <w:lvlJc w:val="left"/>
      <w:pPr>
        <w:ind w:left="720" w:hanging="360"/>
      </w:pPr>
      <w:rPr>
        <w:rFonts w:ascii="Symbol" w:hAnsi="Symbol" w:hint="default"/>
      </w:rPr>
    </w:lvl>
    <w:lvl w:ilvl="1" w:tplc="3A9A8258">
      <w:numFmt w:val="bullet"/>
      <w:lvlText w:val="•"/>
      <w:lvlJc w:val="left"/>
      <w:pPr>
        <w:ind w:left="1785" w:hanging="705"/>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17A424D"/>
    <w:multiLevelType w:val="hybridMultilevel"/>
    <w:tmpl w:val="E9B09DE6"/>
    <w:lvl w:ilvl="0" w:tplc="5BB80B6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1BB1DAF"/>
    <w:multiLevelType w:val="hybridMultilevel"/>
    <w:tmpl w:val="1876C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1E90552"/>
    <w:multiLevelType w:val="hybridMultilevel"/>
    <w:tmpl w:val="390CDB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2146EF6"/>
    <w:multiLevelType w:val="hybridMultilevel"/>
    <w:tmpl w:val="40CC67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21C1988"/>
    <w:multiLevelType w:val="hybridMultilevel"/>
    <w:tmpl w:val="D15A05F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625343C8"/>
    <w:multiLevelType w:val="hybridMultilevel"/>
    <w:tmpl w:val="034A9852"/>
    <w:lvl w:ilvl="0" w:tplc="F884AAC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63D11593"/>
    <w:multiLevelType w:val="hybridMultilevel"/>
    <w:tmpl w:val="CA3A8D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4E443E5"/>
    <w:multiLevelType w:val="hybridMultilevel"/>
    <w:tmpl w:val="FA342F5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4" w15:restartNumberingAfterBreak="0">
    <w:nsid w:val="70A12B9F"/>
    <w:multiLevelType w:val="hybridMultilevel"/>
    <w:tmpl w:val="7FAA0F06"/>
    <w:lvl w:ilvl="0" w:tplc="FFFFFFFF">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C915CB"/>
    <w:multiLevelType w:val="multilevel"/>
    <w:tmpl w:val="959C2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DC3D98"/>
    <w:multiLevelType w:val="hybridMultilevel"/>
    <w:tmpl w:val="C60418DE"/>
    <w:lvl w:ilvl="0" w:tplc="8E9C76D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F03724F"/>
    <w:multiLevelType w:val="hybridMultilevel"/>
    <w:tmpl w:val="05501DB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11"/>
  </w:num>
  <w:num w:numId="4">
    <w:abstractNumId w:val="2"/>
  </w:num>
  <w:num w:numId="5">
    <w:abstractNumId w:val="28"/>
  </w:num>
  <w:num w:numId="6">
    <w:abstractNumId w:val="23"/>
  </w:num>
  <w:num w:numId="7">
    <w:abstractNumId w:val="19"/>
  </w:num>
  <w:num w:numId="8">
    <w:abstractNumId w:val="26"/>
  </w:num>
  <w:num w:numId="9">
    <w:abstractNumId w:val="4"/>
  </w:num>
  <w:num w:numId="10">
    <w:abstractNumId w:val="36"/>
  </w:num>
  <w:num w:numId="11">
    <w:abstractNumId w:val="31"/>
  </w:num>
  <w:num w:numId="12">
    <w:abstractNumId w:val="30"/>
  </w:num>
  <w:num w:numId="13">
    <w:abstractNumId w:val="21"/>
  </w:num>
  <w:num w:numId="14">
    <w:abstractNumId w:val="8"/>
  </w:num>
  <w:num w:numId="15">
    <w:abstractNumId w:val="30"/>
  </w:num>
  <w:num w:numId="16">
    <w:abstractNumId w:val="6"/>
  </w:num>
  <w:num w:numId="17">
    <w:abstractNumId w:val="15"/>
  </w:num>
  <w:num w:numId="18">
    <w:abstractNumId w:val="32"/>
  </w:num>
  <w:num w:numId="19">
    <w:abstractNumId w:val="24"/>
  </w:num>
  <w:num w:numId="20">
    <w:abstractNumId w:val="25"/>
  </w:num>
  <w:num w:numId="21">
    <w:abstractNumId w:val="5"/>
  </w:num>
  <w:num w:numId="22">
    <w:abstractNumId w:val="16"/>
  </w:num>
  <w:num w:numId="23">
    <w:abstractNumId w:val="7"/>
  </w:num>
  <w:num w:numId="24">
    <w:abstractNumId w:val="33"/>
  </w:num>
  <w:num w:numId="25">
    <w:abstractNumId w:val="14"/>
  </w:num>
  <w:num w:numId="26">
    <w:abstractNumId w:val="10"/>
  </w:num>
  <w:num w:numId="27">
    <w:abstractNumId w:val="17"/>
  </w:num>
  <w:num w:numId="28">
    <w:abstractNumId w:val="22"/>
  </w:num>
  <w:num w:numId="29">
    <w:abstractNumId w:val="12"/>
  </w:num>
  <w:num w:numId="30">
    <w:abstractNumId w:val="20"/>
  </w:num>
  <w:num w:numId="31">
    <w:abstractNumId w:val="18"/>
  </w:num>
  <w:num w:numId="32">
    <w:abstractNumId w:val="29"/>
  </w:num>
  <w:num w:numId="33">
    <w:abstractNumId w:val="13"/>
  </w:num>
  <w:num w:numId="34">
    <w:abstractNumId w:val="35"/>
  </w:num>
  <w:num w:numId="35">
    <w:abstractNumId w:val="27"/>
  </w:num>
  <w:num w:numId="36">
    <w:abstractNumId w:val="3"/>
  </w:num>
  <w:num w:numId="37">
    <w:abstractNumId w:val="1"/>
  </w:num>
  <w:num w:numId="38">
    <w:abstractNumId w:val="37"/>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29"/>
    <w:rsid w:val="00001707"/>
    <w:rsid w:val="00016E5E"/>
    <w:rsid w:val="00060E2A"/>
    <w:rsid w:val="00061DC6"/>
    <w:rsid w:val="0008038B"/>
    <w:rsid w:val="0009403E"/>
    <w:rsid w:val="00094913"/>
    <w:rsid w:val="000A4338"/>
    <w:rsid w:val="000E17A0"/>
    <w:rsid w:val="000E671F"/>
    <w:rsid w:val="000F6979"/>
    <w:rsid w:val="000F7F70"/>
    <w:rsid w:val="00103280"/>
    <w:rsid w:val="00124DC6"/>
    <w:rsid w:val="001314DE"/>
    <w:rsid w:val="00137701"/>
    <w:rsid w:val="001601F9"/>
    <w:rsid w:val="0016779B"/>
    <w:rsid w:val="0017192C"/>
    <w:rsid w:val="0019792A"/>
    <w:rsid w:val="001A5E78"/>
    <w:rsid w:val="001A72BE"/>
    <w:rsid w:val="001B03C9"/>
    <w:rsid w:val="001C7CB1"/>
    <w:rsid w:val="001D1FA2"/>
    <w:rsid w:val="001E1D8C"/>
    <w:rsid w:val="001F36AB"/>
    <w:rsid w:val="001F3A42"/>
    <w:rsid w:val="00213E5E"/>
    <w:rsid w:val="00235EEA"/>
    <w:rsid w:val="00246C05"/>
    <w:rsid w:val="00264E56"/>
    <w:rsid w:val="00266784"/>
    <w:rsid w:val="00290F48"/>
    <w:rsid w:val="00292683"/>
    <w:rsid w:val="002A479C"/>
    <w:rsid w:val="002C4BE8"/>
    <w:rsid w:val="002F1152"/>
    <w:rsid w:val="002F3657"/>
    <w:rsid w:val="00304D90"/>
    <w:rsid w:val="00314E53"/>
    <w:rsid w:val="00327BAC"/>
    <w:rsid w:val="003510F1"/>
    <w:rsid w:val="003571C3"/>
    <w:rsid w:val="003671BD"/>
    <w:rsid w:val="00372DEB"/>
    <w:rsid w:val="0037607F"/>
    <w:rsid w:val="00384D42"/>
    <w:rsid w:val="003A2000"/>
    <w:rsid w:val="003C46CA"/>
    <w:rsid w:val="003D55A3"/>
    <w:rsid w:val="003D67A3"/>
    <w:rsid w:val="003E0A72"/>
    <w:rsid w:val="003E1DB6"/>
    <w:rsid w:val="003E2375"/>
    <w:rsid w:val="003E67FE"/>
    <w:rsid w:val="003F02B6"/>
    <w:rsid w:val="003F11DB"/>
    <w:rsid w:val="003F32E7"/>
    <w:rsid w:val="00413DBC"/>
    <w:rsid w:val="00415D98"/>
    <w:rsid w:val="00432752"/>
    <w:rsid w:val="004376BD"/>
    <w:rsid w:val="0045371C"/>
    <w:rsid w:val="004539C2"/>
    <w:rsid w:val="00454F94"/>
    <w:rsid w:val="00476DE0"/>
    <w:rsid w:val="00484014"/>
    <w:rsid w:val="004A30D2"/>
    <w:rsid w:val="004B02BE"/>
    <w:rsid w:val="004C65AF"/>
    <w:rsid w:val="004D2732"/>
    <w:rsid w:val="004E5F48"/>
    <w:rsid w:val="004F0C3C"/>
    <w:rsid w:val="0050261F"/>
    <w:rsid w:val="0050415E"/>
    <w:rsid w:val="00507540"/>
    <w:rsid w:val="005078F0"/>
    <w:rsid w:val="00510CFF"/>
    <w:rsid w:val="00514AA0"/>
    <w:rsid w:val="00526077"/>
    <w:rsid w:val="00526749"/>
    <w:rsid w:val="00535A56"/>
    <w:rsid w:val="00537676"/>
    <w:rsid w:val="005502D7"/>
    <w:rsid w:val="0056366B"/>
    <w:rsid w:val="0057636E"/>
    <w:rsid w:val="00581632"/>
    <w:rsid w:val="0058283F"/>
    <w:rsid w:val="005922CF"/>
    <w:rsid w:val="005924C3"/>
    <w:rsid w:val="00594E61"/>
    <w:rsid w:val="005A7C09"/>
    <w:rsid w:val="005B781C"/>
    <w:rsid w:val="005C3273"/>
    <w:rsid w:val="005C3F68"/>
    <w:rsid w:val="005E21BC"/>
    <w:rsid w:val="005F6176"/>
    <w:rsid w:val="00602558"/>
    <w:rsid w:val="006063F8"/>
    <w:rsid w:val="00612845"/>
    <w:rsid w:val="00613312"/>
    <w:rsid w:val="00614A96"/>
    <w:rsid w:val="00614B9D"/>
    <w:rsid w:val="006446AC"/>
    <w:rsid w:val="00687194"/>
    <w:rsid w:val="00693DD7"/>
    <w:rsid w:val="006B36AD"/>
    <w:rsid w:val="006C09C0"/>
    <w:rsid w:val="006C31F3"/>
    <w:rsid w:val="006C69C2"/>
    <w:rsid w:val="006D7ED6"/>
    <w:rsid w:val="006E2283"/>
    <w:rsid w:val="006F0DF8"/>
    <w:rsid w:val="007409CE"/>
    <w:rsid w:val="0075299C"/>
    <w:rsid w:val="00764E6D"/>
    <w:rsid w:val="00772B54"/>
    <w:rsid w:val="00774B6C"/>
    <w:rsid w:val="007753DF"/>
    <w:rsid w:val="007804E0"/>
    <w:rsid w:val="007849EF"/>
    <w:rsid w:val="00791834"/>
    <w:rsid w:val="00792494"/>
    <w:rsid w:val="007949E5"/>
    <w:rsid w:val="007C42C5"/>
    <w:rsid w:val="007D6798"/>
    <w:rsid w:val="007E19B6"/>
    <w:rsid w:val="0080232B"/>
    <w:rsid w:val="008065C3"/>
    <w:rsid w:val="008077F0"/>
    <w:rsid w:val="00822769"/>
    <w:rsid w:val="0082795C"/>
    <w:rsid w:val="00830457"/>
    <w:rsid w:val="008413E5"/>
    <w:rsid w:val="0087672D"/>
    <w:rsid w:val="008839B5"/>
    <w:rsid w:val="008A7F89"/>
    <w:rsid w:val="008B05BD"/>
    <w:rsid w:val="008B504F"/>
    <w:rsid w:val="008C171F"/>
    <w:rsid w:val="008D367B"/>
    <w:rsid w:val="008E5BC3"/>
    <w:rsid w:val="008E5C32"/>
    <w:rsid w:val="008E63AD"/>
    <w:rsid w:val="0090492B"/>
    <w:rsid w:val="00916893"/>
    <w:rsid w:val="00916F25"/>
    <w:rsid w:val="00917BD4"/>
    <w:rsid w:val="00921698"/>
    <w:rsid w:val="009259FD"/>
    <w:rsid w:val="00926759"/>
    <w:rsid w:val="00935126"/>
    <w:rsid w:val="009530EF"/>
    <w:rsid w:val="00954079"/>
    <w:rsid w:val="00962D04"/>
    <w:rsid w:val="00966585"/>
    <w:rsid w:val="00990368"/>
    <w:rsid w:val="00990C5D"/>
    <w:rsid w:val="009921D0"/>
    <w:rsid w:val="00993E35"/>
    <w:rsid w:val="009A5299"/>
    <w:rsid w:val="009B16D5"/>
    <w:rsid w:val="009B5F35"/>
    <w:rsid w:val="009B764A"/>
    <w:rsid w:val="009B7C37"/>
    <w:rsid w:val="009C091A"/>
    <w:rsid w:val="009C78E9"/>
    <w:rsid w:val="00A01868"/>
    <w:rsid w:val="00A06E5E"/>
    <w:rsid w:val="00A225BF"/>
    <w:rsid w:val="00A24969"/>
    <w:rsid w:val="00A42C5A"/>
    <w:rsid w:val="00A4764C"/>
    <w:rsid w:val="00A52555"/>
    <w:rsid w:val="00A54DB3"/>
    <w:rsid w:val="00A619FD"/>
    <w:rsid w:val="00A62A6F"/>
    <w:rsid w:val="00A72A31"/>
    <w:rsid w:val="00A819C2"/>
    <w:rsid w:val="00A822C7"/>
    <w:rsid w:val="00A8352C"/>
    <w:rsid w:val="00A94278"/>
    <w:rsid w:val="00AA20FA"/>
    <w:rsid w:val="00AC61E1"/>
    <w:rsid w:val="00AC7CE8"/>
    <w:rsid w:val="00AD15A9"/>
    <w:rsid w:val="00AD1C2F"/>
    <w:rsid w:val="00AD2F0F"/>
    <w:rsid w:val="00AF5E77"/>
    <w:rsid w:val="00B0635D"/>
    <w:rsid w:val="00B3284F"/>
    <w:rsid w:val="00B36E66"/>
    <w:rsid w:val="00B60205"/>
    <w:rsid w:val="00B81D5C"/>
    <w:rsid w:val="00B92FC2"/>
    <w:rsid w:val="00B975F3"/>
    <w:rsid w:val="00BA5864"/>
    <w:rsid w:val="00BA59AF"/>
    <w:rsid w:val="00C22211"/>
    <w:rsid w:val="00C250B1"/>
    <w:rsid w:val="00C766B4"/>
    <w:rsid w:val="00C81D53"/>
    <w:rsid w:val="00C83919"/>
    <w:rsid w:val="00CC63D3"/>
    <w:rsid w:val="00CC6A1B"/>
    <w:rsid w:val="00CD2A57"/>
    <w:rsid w:val="00CD4111"/>
    <w:rsid w:val="00CE6021"/>
    <w:rsid w:val="00CF22E9"/>
    <w:rsid w:val="00D14926"/>
    <w:rsid w:val="00D2004E"/>
    <w:rsid w:val="00D351DC"/>
    <w:rsid w:val="00D45758"/>
    <w:rsid w:val="00D5740D"/>
    <w:rsid w:val="00D72BEC"/>
    <w:rsid w:val="00D74A8D"/>
    <w:rsid w:val="00DA1125"/>
    <w:rsid w:val="00DA4559"/>
    <w:rsid w:val="00DC1764"/>
    <w:rsid w:val="00DC7786"/>
    <w:rsid w:val="00DE3029"/>
    <w:rsid w:val="00DF3DCD"/>
    <w:rsid w:val="00E078AB"/>
    <w:rsid w:val="00E4297C"/>
    <w:rsid w:val="00E564CD"/>
    <w:rsid w:val="00E5692F"/>
    <w:rsid w:val="00E57E06"/>
    <w:rsid w:val="00E653C0"/>
    <w:rsid w:val="00E667B2"/>
    <w:rsid w:val="00E67012"/>
    <w:rsid w:val="00E67E98"/>
    <w:rsid w:val="00E825FB"/>
    <w:rsid w:val="00E915AA"/>
    <w:rsid w:val="00E94031"/>
    <w:rsid w:val="00EC300D"/>
    <w:rsid w:val="00EC3800"/>
    <w:rsid w:val="00EE28FE"/>
    <w:rsid w:val="00EE60E1"/>
    <w:rsid w:val="00EF5285"/>
    <w:rsid w:val="00F10A32"/>
    <w:rsid w:val="00F175F8"/>
    <w:rsid w:val="00F42B8C"/>
    <w:rsid w:val="00F5155A"/>
    <w:rsid w:val="00F53C28"/>
    <w:rsid w:val="00F55E24"/>
    <w:rsid w:val="00F621BC"/>
    <w:rsid w:val="00F64C22"/>
    <w:rsid w:val="00F702DD"/>
    <w:rsid w:val="00F817BE"/>
    <w:rsid w:val="00F81A35"/>
    <w:rsid w:val="00F9153D"/>
    <w:rsid w:val="00FA29E7"/>
    <w:rsid w:val="00FA3013"/>
    <w:rsid w:val="00FB1349"/>
    <w:rsid w:val="00FB6A1D"/>
    <w:rsid w:val="00FC563A"/>
    <w:rsid w:val="00FC59BF"/>
    <w:rsid w:val="00FD0622"/>
    <w:rsid w:val="00FF2A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14D848E"/>
  <w15:chartTrackingRefBased/>
  <w15:docId w15:val="{09836B6F-5B72-5E43-AE25-3B91D28C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ascii="Tahoma" w:hAnsi="Tahoma" w:cs="Arial"/>
      <w:color w:val="000000"/>
      <w:sz w:val="24"/>
      <w:szCs w:val="24"/>
      <w:lang w:eastAsia="zh-CN"/>
    </w:rPr>
  </w:style>
  <w:style w:type="paragraph" w:styleId="Titolo1">
    <w:name w:val="heading 1"/>
    <w:basedOn w:val="Normale"/>
    <w:next w:val="Normale"/>
    <w:qFormat/>
    <w:pPr>
      <w:keepNext/>
      <w:numPr>
        <w:numId w:val="1"/>
      </w:numPr>
      <w:ind w:left="6521"/>
      <w:outlineLvl w:val="0"/>
    </w:pPr>
    <w:rPr>
      <w:rFonts w:ascii="Lucida Sans Unicode" w:hAnsi="Lucida Sans Unicode" w:cs="Times New Roman"/>
      <w:b/>
      <w:i/>
      <w:color w:val="auto"/>
      <w:szCs w:val="20"/>
    </w:rPr>
  </w:style>
  <w:style w:type="paragraph" w:styleId="Titolo2">
    <w:name w:val="heading 2"/>
    <w:basedOn w:val="Normale"/>
    <w:next w:val="Normale"/>
    <w:qFormat/>
    <w:pPr>
      <w:keepNext/>
      <w:numPr>
        <w:ilvl w:val="1"/>
        <w:numId w:val="1"/>
      </w:numPr>
      <w:spacing w:before="240" w:after="60"/>
      <w:outlineLvl w:val="1"/>
    </w:pPr>
    <w:rPr>
      <w:rFonts w:ascii="Arial" w:hAnsi="Arial"/>
      <w:b/>
      <w:bCs/>
      <w:i/>
      <w:iCs/>
      <w:sz w:val="28"/>
      <w:szCs w:val="28"/>
    </w:rPr>
  </w:style>
  <w:style w:type="paragraph" w:styleId="Titolo4">
    <w:name w:val="heading 4"/>
    <w:basedOn w:val="Normale"/>
    <w:next w:val="Normale"/>
    <w:qFormat/>
    <w:pPr>
      <w:keepNext/>
      <w:numPr>
        <w:ilvl w:val="3"/>
        <w:numId w:val="1"/>
      </w:numPr>
      <w:spacing w:before="240" w:after="60"/>
      <w:outlineLvl w:val="3"/>
    </w:pPr>
    <w:rPr>
      <w:rFonts w:ascii="Times New Roman" w:hAnsi="Times New Roman" w:cs="Times New Roman"/>
      <w:b/>
      <w:bCs/>
      <w:sz w:val="28"/>
      <w:szCs w:val="28"/>
    </w:rPr>
  </w:style>
  <w:style w:type="paragraph" w:styleId="Titolo6">
    <w:name w:val="heading 6"/>
    <w:basedOn w:val="Normale"/>
    <w:next w:val="Normale"/>
    <w:qFormat/>
    <w:pPr>
      <w:numPr>
        <w:ilvl w:val="5"/>
        <w:numId w:val="1"/>
      </w:numPr>
      <w:spacing w:before="240" w:after="60"/>
      <w:outlineLvl w:val="5"/>
    </w:pPr>
    <w:rPr>
      <w:rFonts w:ascii="Times New Roman" w:hAnsi="Times New Roman" w:cs="Times New Roman"/>
      <w:b/>
      <w:bCs/>
      <w:sz w:val="22"/>
      <w:szCs w:val="22"/>
    </w:rPr>
  </w:style>
  <w:style w:type="paragraph" w:styleId="Titolo7">
    <w:name w:val="heading 7"/>
    <w:basedOn w:val="Normale"/>
    <w:next w:val="Normale"/>
    <w:qFormat/>
    <w:pPr>
      <w:numPr>
        <w:ilvl w:val="6"/>
        <w:numId w:val="1"/>
      </w:numPr>
      <w:spacing w:before="240" w:after="60"/>
      <w:outlineLvl w:val="6"/>
    </w:pPr>
    <w:rPr>
      <w:rFonts w:ascii="Times New Roman" w:hAnsi="Times New Roman" w:cs="Times New Roman"/>
    </w:rPr>
  </w:style>
  <w:style w:type="paragraph" w:styleId="Titolo8">
    <w:name w:val="heading 8"/>
    <w:basedOn w:val="Normale"/>
    <w:next w:val="Normale"/>
    <w:qFormat/>
    <w:pPr>
      <w:numPr>
        <w:ilvl w:val="7"/>
        <w:numId w:val="1"/>
      </w:numPr>
      <w:spacing w:before="240" w:after="60"/>
      <w:outlineLvl w:val="7"/>
    </w:pPr>
    <w:rPr>
      <w:rFonts w:ascii="Times New Roman" w:hAnsi="Times New Roman" w:cs="Times New Roman"/>
      <w:i/>
      <w:iCs/>
    </w:rPr>
  </w:style>
  <w:style w:type="paragraph" w:styleId="Titolo9">
    <w:name w:val="heading 9"/>
    <w:basedOn w:val="Normale"/>
    <w:next w:val="Normale"/>
    <w:qFormat/>
    <w:pPr>
      <w:numPr>
        <w:ilvl w:val="8"/>
        <w:numId w:val="1"/>
      </w:numPr>
      <w:spacing w:before="240" w:after="6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Arial" w:eastAsia="Times New Roman" w:hAnsi="Arial" w:cs="Aria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Arial" w:eastAsia="Times New Roman" w:hAnsi="Arial" w:cs="Aria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Times New Roman" w:eastAsia="Times New Roman" w:hAnsi="Times New Roman" w:cs="Times New Roman" w:hint="default"/>
      <w:color w:val="004485"/>
      <w:spacing w:val="-1"/>
      <w:w w:val="100"/>
      <w:sz w:val="24"/>
      <w:szCs w:val="24"/>
      <w:lang w:val="it-IT" w:bidi="it-I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Times New Roman" w:eastAsia="Times New Roman" w:hAnsi="Times New Roman" w:cs="Times New Roman" w:hint="default"/>
      <w:color w:val="004485"/>
      <w:spacing w:val="-1"/>
      <w:w w:val="100"/>
      <w:sz w:val="24"/>
      <w:szCs w:val="24"/>
      <w:lang w:val="it-IT" w:bidi="it-I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sz w:val="22"/>
      <w:szCs w:val="22"/>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rPr>
      <w:color w:val="0000FF"/>
      <w:u w:val="single"/>
    </w:rPr>
  </w:style>
  <w:style w:type="character" w:customStyle="1" w:styleId="IntestazioneCarattere">
    <w:name w:val="Intestazione Carattere"/>
    <w:rPr>
      <w:rFonts w:ascii="Tahoma" w:hAnsi="Tahoma" w:cs="Arial"/>
      <w:color w:val="000000"/>
      <w:sz w:val="24"/>
      <w:szCs w:val="24"/>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Testofumetto">
    <w:name w:val="Balloon Text"/>
    <w:basedOn w:val="Normale"/>
    <w:rPr>
      <w:rFonts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rPr>
      <w:rFonts w:cs="Times New Roman"/>
      <w:lang w:val="x-none"/>
    </w:rPr>
  </w:style>
  <w:style w:type="paragraph" w:styleId="Rientrocorpodeltesto">
    <w:name w:val="Body Text Indent"/>
    <w:basedOn w:val="Normale"/>
    <w:pPr>
      <w:ind w:left="851" w:hanging="851"/>
      <w:jc w:val="both"/>
    </w:pPr>
    <w:rPr>
      <w:rFonts w:ascii="Lucida Sans Unicode" w:hAnsi="Lucida Sans Unicode" w:cs="Times New Roman"/>
      <w:color w:val="auto"/>
      <w:szCs w:val="20"/>
    </w:rPr>
  </w:style>
  <w:style w:type="character" w:customStyle="1" w:styleId="PidipaginaCarattere">
    <w:name w:val="Piè di pagina Carattere"/>
    <w:link w:val="Pidipagina"/>
    <w:uiPriority w:val="99"/>
    <w:qFormat/>
    <w:rPr>
      <w:rFonts w:ascii="Tahoma" w:hAnsi="Tahoma" w:cs="Arial"/>
      <w:color w:val="000000"/>
      <w:sz w:val="24"/>
      <w:szCs w:val="24"/>
      <w:lang w:eastAsia="zh-CN"/>
    </w:rPr>
  </w:style>
  <w:style w:type="paragraph" w:styleId="Paragrafoelenco">
    <w:name w:val="List Paragraph"/>
    <w:basedOn w:val="Normale"/>
    <w:uiPriority w:val="34"/>
    <w:qFormat/>
    <w:rsid w:val="00D2004E"/>
    <w:pPr>
      <w:ind w:left="720"/>
      <w:contextualSpacing/>
    </w:pPr>
    <w:rPr>
      <w:rFonts w:ascii="Times New Roman" w:hAnsi="Times New Roman" w:cs="Times New Roman"/>
      <w:color w:val="auto"/>
      <w:sz w:val="20"/>
      <w:szCs w:val="20"/>
    </w:rPr>
  </w:style>
  <w:style w:type="paragraph" w:customStyle="1" w:styleId="m1230331059342880214m-8564640603714592579msolistparagraph">
    <w:name w:val="m_1230331059342880214m_-8564640603714592579msolistparagraph"/>
    <w:basedOn w:val="Normale"/>
    <w:rsid w:val="000F6979"/>
    <w:pPr>
      <w:suppressAutoHyphens w:val="0"/>
      <w:spacing w:before="100" w:beforeAutospacing="1" w:after="100" w:afterAutospacing="1"/>
    </w:pPr>
    <w:rPr>
      <w:rFonts w:ascii="Times New Roman" w:eastAsia="Calibri" w:hAnsi="Times New Roman" w:cs="Times New Roman"/>
      <w:color w:val="auto"/>
      <w:lang w:eastAsia="it-IT"/>
    </w:rPr>
  </w:style>
  <w:style w:type="paragraph" w:customStyle="1" w:styleId="Pidipagina1">
    <w:name w:val="Piè di pagina1"/>
    <w:basedOn w:val="Normale"/>
    <w:uiPriority w:val="99"/>
    <w:rsid w:val="003F02B6"/>
    <w:pPr>
      <w:suppressLineNumbers/>
      <w:tabs>
        <w:tab w:val="center" w:pos="4818"/>
        <w:tab w:val="right" w:pos="9637"/>
      </w:tabs>
    </w:pPr>
    <w:rPr>
      <w:rFonts w:ascii="Times New Roman" w:hAnsi="Times New Roman" w:cs="Times New Roman"/>
      <w:color w:val="00000A"/>
    </w:rPr>
  </w:style>
  <w:style w:type="paragraph" w:customStyle="1" w:styleId="Default">
    <w:name w:val="Default"/>
    <w:rsid w:val="000A433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9642">
      <w:bodyDiv w:val="1"/>
      <w:marLeft w:val="0"/>
      <w:marRight w:val="0"/>
      <w:marTop w:val="0"/>
      <w:marBottom w:val="0"/>
      <w:divBdr>
        <w:top w:val="none" w:sz="0" w:space="0" w:color="auto"/>
        <w:left w:val="none" w:sz="0" w:space="0" w:color="auto"/>
        <w:bottom w:val="none" w:sz="0" w:space="0" w:color="auto"/>
        <w:right w:val="none" w:sz="0" w:space="0" w:color="auto"/>
      </w:divBdr>
    </w:div>
    <w:div w:id="135151879">
      <w:bodyDiv w:val="1"/>
      <w:marLeft w:val="0"/>
      <w:marRight w:val="0"/>
      <w:marTop w:val="0"/>
      <w:marBottom w:val="0"/>
      <w:divBdr>
        <w:top w:val="none" w:sz="0" w:space="0" w:color="auto"/>
        <w:left w:val="none" w:sz="0" w:space="0" w:color="auto"/>
        <w:bottom w:val="none" w:sz="0" w:space="0" w:color="auto"/>
        <w:right w:val="none" w:sz="0" w:space="0" w:color="auto"/>
      </w:divBdr>
    </w:div>
    <w:div w:id="289676737">
      <w:bodyDiv w:val="1"/>
      <w:marLeft w:val="0"/>
      <w:marRight w:val="0"/>
      <w:marTop w:val="0"/>
      <w:marBottom w:val="0"/>
      <w:divBdr>
        <w:top w:val="none" w:sz="0" w:space="0" w:color="auto"/>
        <w:left w:val="none" w:sz="0" w:space="0" w:color="auto"/>
        <w:bottom w:val="none" w:sz="0" w:space="0" w:color="auto"/>
        <w:right w:val="none" w:sz="0" w:space="0" w:color="auto"/>
      </w:divBdr>
    </w:div>
    <w:div w:id="350038239">
      <w:bodyDiv w:val="1"/>
      <w:marLeft w:val="0"/>
      <w:marRight w:val="0"/>
      <w:marTop w:val="0"/>
      <w:marBottom w:val="0"/>
      <w:divBdr>
        <w:top w:val="none" w:sz="0" w:space="0" w:color="auto"/>
        <w:left w:val="none" w:sz="0" w:space="0" w:color="auto"/>
        <w:bottom w:val="none" w:sz="0" w:space="0" w:color="auto"/>
        <w:right w:val="none" w:sz="0" w:space="0" w:color="auto"/>
      </w:divBdr>
    </w:div>
    <w:div w:id="507449728">
      <w:bodyDiv w:val="1"/>
      <w:marLeft w:val="0"/>
      <w:marRight w:val="0"/>
      <w:marTop w:val="0"/>
      <w:marBottom w:val="0"/>
      <w:divBdr>
        <w:top w:val="none" w:sz="0" w:space="0" w:color="auto"/>
        <w:left w:val="none" w:sz="0" w:space="0" w:color="auto"/>
        <w:bottom w:val="none" w:sz="0" w:space="0" w:color="auto"/>
        <w:right w:val="none" w:sz="0" w:space="0" w:color="auto"/>
      </w:divBdr>
    </w:div>
    <w:div w:id="829829977">
      <w:bodyDiv w:val="1"/>
      <w:marLeft w:val="0"/>
      <w:marRight w:val="0"/>
      <w:marTop w:val="0"/>
      <w:marBottom w:val="0"/>
      <w:divBdr>
        <w:top w:val="none" w:sz="0" w:space="0" w:color="auto"/>
        <w:left w:val="none" w:sz="0" w:space="0" w:color="auto"/>
        <w:bottom w:val="none" w:sz="0" w:space="0" w:color="auto"/>
        <w:right w:val="none" w:sz="0" w:space="0" w:color="auto"/>
      </w:divBdr>
    </w:div>
    <w:div w:id="906375760">
      <w:bodyDiv w:val="1"/>
      <w:marLeft w:val="0"/>
      <w:marRight w:val="0"/>
      <w:marTop w:val="0"/>
      <w:marBottom w:val="0"/>
      <w:divBdr>
        <w:top w:val="none" w:sz="0" w:space="0" w:color="auto"/>
        <w:left w:val="none" w:sz="0" w:space="0" w:color="auto"/>
        <w:bottom w:val="none" w:sz="0" w:space="0" w:color="auto"/>
        <w:right w:val="none" w:sz="0" w:space="0" w:color="auto"/>
      </w:divBdr>
    </w:div>
    <w:div w:id="1731147540">
      <w:bodyDiv w:val="1"/>
      <w:marLeft w:val="0"/>
      <w:marRight w:val="0"/>
      <w:marTop w:val="0"/>
      <w:marBottom w:val="0"/>
      <w:divBdr>
        <w:top w:val="none" w:sz="0" w:space="0" w:color="auto"/>
        <w:left w:val="none" w:sz="0" w:space="0" w:color="auto"/>
        <w:bottom w:val="none" w:sz="0" w:space="0" w:color="auto"/>
        <w:right w:val="none" w:sz="0" w:space="0" w:color="auto"/>
      </w:divBdr>
    </w:div>
    <w:div w:id="1993870836">
      <w:bodyDiv w:val="1"/>
      <w:marLeft w:val="0"/>
      <w:marRight w:val="0"/>
      <w:marTop w:val="0"/>
      <w:marBottom w:val="0"/>
      <w:divBdr>
        <w:top w:val="none" w:sz="0" w:space="0" w:color="auto"/>
        <w:left w:val="none" w:sz="0" w:space="0" w:color="auto"/>
        <w:bottom w:val="none" w:sz="0" w:space="0" w:color="auto"/>
        <w:right w:val="none" w:sz="0" w:space="0" w:color="auto"/>
      </w:divBdr>
    </w:div>
    <w:div w:id="1996376074">
      <w:bodyDiv w:val="1"/>
      <w:marLeft w:val="0"/>
      <w:marRight w:val="0"/>
      <w:marTop w:val="0"/>
      <w:marBottom w:val="0"/>
      <w:divBdr>
        <w:top w:val="none" w:sz="0" w:space="0" w:color="auto"/>
        <w:left w:val="none" w:sz="0" w:space="0" w:color="auto"/>
        <w:bottom w:val="none" w:sz="0" w:space="0" w:color="auto"/>
        <w:right w:val="none" w:sz="0" w:space="0" w:color="auto"/>
      </w:divBdr>
      <w:divsChild>
        <w:div w:id="245462284">
          <w:marLeft w:val="0"/>
          <w:marRight w:val="0"/>
          <w:marTop w:val="0"/>
          <w:marBottom w:val="0"/>
          <w:divBdr>
            <w:top w:val="none" w:sz="0" w:space="0" w:color="auto"/>
            <w:left w:val="none" w:sz="0" w:space="0" w:color="auto"/>
            <w:bottom w:val="none" w:sz="0" w:space="0" w:color="auto"/>
            <w:right w:val="none" w:sz="0" w:space="0" w:color="auto"/>
          </w:divBdr>
        </w:div>
        <w:div w:id="377167884">
          <w:marLeft w:val="0"/>
          <w:marRight w:val="0"/>
          <w:marTop w:val="0"/>
          <w:marBottom w:val="0"/>
          <w:divBdr>
            <w:top w:val="none" w:sz="0" w:space="0" w:color="auto"/>
            <w:left w:val="none" w:sz="0" w:space="0" w:color="auto"/>
            <w:bottom w:val="none" w:sz="0" w:space="0" w:color="auto"/>
            <w:right w:val="none" w:sz="0" w:space="0" w:color="auto"/>
          </w:divBdr>
        </w:div>
        <w:div w:id="1021541871">
          <w:marLeft w:val="0"/>
          <w:marRight w:val="0"/>
          <w:marTop w:val="0"/>
          <w:marBottom w:val="0"/>
          <w:divBdr>
            <w:top w:val="none" w:sz="0" w:space="0" w:color="auto"/>
            <w:left w:val="none" w:sz="0" w:space="0" w:color="auto"/>
            <w:bottom w:val="none" w:sz="0" w:space="0" w:color="auto"/>
            <w:right w:val="none" w:sz="0" w:space="0" w:color="auto"/>
          </w:divBdr>
          <w:divsChild>
            <w:div w:id="1523664095">
              <w:marLeft w:val="0"/>
              <w:marRight w:val="0"/>
              <w:marTop w:val="0"/>
              <w:marBottom w:val="0"/>
              <w:divBdr>
                <w:top w:val="none" w:sz="0" w:space="0" w:color="auto"/>
                <w:left w:val="none" w:sz="0" w:space="0" w:color="auto"/>
                <w:bottom w:val="none" w:sz="0" w:space="0" w:color="auto"/>
                <w:right w:val="none" w:sz="0" w:space="0" w:color="auto"/>
              </w:divBdr>
            </w:div>
          </w:divsChild>
        </w:div>
        <w:div w:id="1935941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image" Target="media/image3.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FE5EA-0092-4B6A-9E84-92DB9D4E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1528</Words>
  <Characters>8715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La netta contrarietà di A</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netta contrarietà di A</dc:title>
  <dc:subject/>
  <dc:creator>beppino</dc:creator>
  <cp:keywords/>
  <cp:lastModifiedBy>Giuseppe</cp:lastModifiedBy>
  <cp:revision>4</cp:revision>
  <cp:lastPrinted>2020-03-25T12:17:00Z</cp:lastPrinted>
  <dcterms:created xsi:type="dcterms:W3CDTF">2024-03-08T09:16:00Z</dcterms:created>
  <dcterms:modified xsi:type="dcterms:W3CDTF">2024-03-08T12:16:00Z</dcterms:modified>
</cp:coreProperties>
</file>